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4B" w:rsidRDefault="002615C2">
      <w:pPr>
        <w:tabs>
          <w:tab w:val="left" w:pos="8047"/>
        </w:tabs>
        <w:ind w:left="178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938719" cy="964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19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fr-FR"/>
        </w:rPr>
        <w:drawing>
          <wp:inline distT="0" distB="0" distL="0" distR="0">
            <wp:extent cx="1449297" cy="5349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297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04B" w:rsidRDefault="002615C2">
      <w:pPr>
        <w:pStyle w:val="Titre"/>
        <w:spacing w:line="242" w:lineRule="auto"/>
      </w:pPr>
      <w:bookmarkStart w:id="0" w:name="Préparation_Aux_Carrières_Comptables_et_"/>
      <w:bookmarkEnd w:id="0"/>
      <w:r>
        <w:rPr>
          <w:smallCaps/>
          <w:w w:val="115"/>
        </w:rPr>
        <w:t>Préparation Aux Carrières Comptables et Financières Expertise Comptable (Filière Française)</w:t>
      </w:r>
    </w:p>
    <w:p w:rsidR="0063504B" w:rsidRDefault="002615C2">
      <w:pPr>
        <w:pStyle w:val="Corpsdetexte"/>
        <w:spacing w:before="260" w:line="237" w:lineRule="auto"/>
        <w:ind w:right="282"/>
        <w:jc w:val="both"/>
      </w:pP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signée</w:t>
      </w:r>
      <w:r>
        <w:rPr>
          <w:spacing w:val="-3"/>
        </w:rPr>
        <w:t xml:space="preserve"> </w:t>
      </w:r>
      <w:r>
        <w:t>entre le</w:t>
      </w:r>
      <w:r>
        <w:rPr>
          <w:spacing w:val="-3"/>
        </w:rPr>
        <w:t xml:space="preserve"> </w:t>
      </w:r>
      <w:r>
        <w:t>Groupe</w:t>
      </w:r>
      <w:r>
        <w:rPr>
          <w:spacing w:val="-3"/>
        </w:rPr>
        <w:t xml:space="preserve"> </w:t>
      </w:r>
      <w:r>
        <w:t>ISCAE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l’INTEC PARIS, les candidats</w:t>
      </w:r>
      <w:r>
        <w:rPr>
          <w:spacing w:val="-5"/>
        </w:rPr>
        <w:t xml:space="preserve"> </w:t>
      </w:r>
      <w:r>
        <w:t>intéressés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carrières financières et comptables et par la préparation du Diplôme d’Expertise Comptable (</w:t>
      </w:r>
      <w:r>
        <w:rPr>
          <w:b/>
        </w:rPr>
        <w:t>Filière Française</w:t>
      </w:r>
      <w:r>
        <w:t>) sont informés qu’ils ont la possibilité de s’inscrire directement aux cours de l’INTEC par l’intermédiaire de l’ISCAE.</w:t>
      </w:r>
    </w:p>
    <w:p w:rsidR="0063504B" w:rsidRDefault="002615C2">
      <w:pPr>
        <w:pStyle w:val="Corpsdetexte"/>
        <w:spacing w:before="176"/>
        <w:ind w:right="278"/>
      </w:pPr>
      <w:bookmarkStart w:id="1" w:name="L’Intec_est_le_seul_établissement_d’ense"/>
      <w:bookmarkEnd w:id="1"/>
      <w:r>
        <w:t>L’</w:t>
      </w:r>
      <w:proofErr w:type="spellStart"/>
      <w:r>
        <w:t>Intec</w:t>
      </w:r>
      <w:proofErr w:type="spellEnd"/>
      <w:r>
        <w:t xml:space="preserve"> est le seul établissement d’enseignement supérieur à disposer de ses propres diplômes, </w:t>
      </w:r>
      <w:r>
        <w:rPr>
          <w:b/>
          <w:color w:val="0000FF"/>
        </w:rPr>
        <w:t xml:space="preserve">DGC </w:t>
      </w:r>
      <w:r>
        <w:t>(Diplôme de Gestion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Comptabilité)</w:t>
      </w:r>
      <w:r>
        <w:rPr>
          <w:spacing w:val="-2"/>
        </w:rPr>
        <w:t xml:space="preserve"> </w:t>
      </w:r>
      <w:r>
        <w:t xml:space="preserve">et </w:t>
      </w:r>
      <w:r>
        <w:rPr>
          <w:b/>
          <w:color w:val="0000FF"/>
        </w:rPr>
        <w:t>DSCG</w:t>
      </w:r>
      <w:r>
        <w:rPr>
          <w:b/>
          <w:color w:val="0000FF"/>
          <w:spacing w:val="-2"/>
        </w:rPr>
        <w:t xml:space="preserve"> </w:t>
      </w:r>
      <w:r>
        <w:t>(Diplôme</w:t>
      </w:r>
      <w:r>
        <w:rPr>
          <w:spacing w:val="-3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Gestion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Comptabilité), conformes</w:t>
      </w:r>
      <w:r>
        <w:rPr>
          <w:spacing w:val="-2"/>
        </w:rPr>
        <w:t xml:space="preserve"> </w:t>
      </w:r>
      <w:r>
        <w:t>aux</w:t>
      </w:r>
      <w:r>
        <w:rPr>
          <w:spacing w:val="40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et aux exigences des examens de l’Etat, le DCG et le DSCG.</w:t>
      </w:r>
    </w:p>
    <w:p w:rsidR="0063504B" w:rsidRDefault="002615C2">
      <w:pPr>
        <w:pStyle w:val="Corpsdetexte"/>
        <w:spacing w:before="2"/>
        <w:ind w:right="278"/>
      </w:pPr>
      <w:r>
        <w:t>Autrement</w:t>
      </w:r>
      <w:r>
        <w:rPr>
          <w:spacing w:val="-3"/>
        </w:rPr>
        <w:t xml:space="preserve"> </w:t>
      </w:r>
      <w:r>
        <w:t>dit,</w:t>
      </w:r>
      <w:r>
        <w:rPr>
          <w:spacing w:val="40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dispensés</w:t>
      </w:r>
      <w:r>
        <w:rPr>
          <w:spacing w:val="-3"/>
        </w:rPr>
        <w:t xml:space="preserve"> </w:t>
      </w:r>
      <w:r>
        <w:t>à l’</w:t>
      </w:r>
      <w:proofErr w:type="spellStart"/>
      <w:r>
        <w:t>Intec</w:t>
      </w:r>
      <w:proofErr w:type="spellEnd"/>
      <w:r>
        <w:t xml:space="preserve"> vous</w:t>
      </w:r>
      <w:r>
        <w:rPr>
          <w:spacing w:val="40"/>
        </w:rPr>
        <w:t xml:space="preserve"> </w:t>
      </w:r>
      <w:r>
        <w:t>préparent</w:t>
      </w:r>
      <w:r>
        <w:rPr>
          <w:spacing w:val="40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examens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</w:t>
      </w:r>
      <w:proofErr w:type="spellStart"/>
      <w:r>
        <w:t>Intec</w:t>
      </w:r>
      <w:proofErr w:type="spellEnd"/>
      <w:r>
        <w:t xml:space="preserve"> et à ceux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de l’Etat. L’</w:t>
      </w:r>
      <w:proofErr w:type="spellStart"/>
      <w:r>
        <w:t>Intec</w:t>
      </w:r>
      <w:proofErr w:type="spellEnd"/>
      <w:r>
        <w:t xml:space="preserve"> reprend la meilleure des deux notes pour la validation de ses propres diplômes.</w:t>
      </w:r>
    </w:p>
    <w:p w:rsidR="0063504B" w:rsidRDefault="002615C2">
      <w:pPr>
        <w:pStyle w:val="Corpsdetexte"/>
        <w:spacing w:before="121"/>
      </w:pPr>
      <w:bookmarkStart w:id="2" w:name="Le_DGC_de_l’Intec_dispense_de_la_totalit"/>
      <w:bookmarkEnd w:id="2"/>
      <w:r>
        <w:t>Le</w:t>
      </w:r>
      <w:r>
        <w:rPr>
          <w:spacing w:val="-8"/>
        </w:rPr>
        <w:t xml:space="preserve"> </w:t>
      </w:r>
      <w:r>
        <w:rPr>
          <w:b/>
          <w:color w:val="0000FF"/>
        </w:rPr>
        <w:t>DGC</w:t>
      </w:r>
      <w:r>
        <w:rPr>
          <w:b/>
          <w:color w:val="0000FF"/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</w:t>
      </w:r>
      <w:proofErr w:type="spellStart"/>
      <w:r>
        <w:t>Intec</w:t>
      </w:r>
      <w:proofErr w:type="spellEnd"/>
      <w:r>
        <w:rPr>
          <w:spacing w:val="-3"/>
        </w:rPr>
        <w:t xml:space="preserve"> </w:t>
      </w:r>
      <w:r>
        <w:t>dispense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totalité</w:t>
      </w:r>
      <w:r>
        <w:rPr>
          <w:spacing w:val="-7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b/>
          <w:color w:val="0000FF"/>
        </w:rPr>
        <w:t>DCG</w:t>
      </w:r>
      <w:r>
        <w:rPr>
          <w:b/>
          <w:color w:val="0000FF"/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l’Etat</w:t>
      </w:r>
    </w:p>
    <w:p w:rsidR="0063504B" w:rsidRDefault="002615C2">
      <w:pPr>
        <w:pStyle w:val="Corpsdetexte"/>
        <w:spacing w:before="122"/>
        <w:ind w:left="185"/>
      </w:pPr>
      <w:bookmarkStart w:id="3" w:name="Le_DSGC_de_l’Intec_dispense_des_UE_2,_3,"/>
      <w:bookmarkEnd w:id="3"/>
      <w:r>
        <w:t>Le</w:t>
      </w:r>
      <w:r>
        <w:rPr>
          <w:spacing w:val="-9"/>
        </w:rPr>
        <w:t xml:space="preserve"> </w:t>
      </w:r>
      <w:r>
        <w:rPr>
          <w:b/>
          <w:color w:val="0000FF"/>
        </w:rPr>
        <w:t>DSGC</w:t>
      </w:r>
      <w:r>
        <w:rPr>
          <w:b/>
          <w:color w:val="0000FF"/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</w:t>
      </w:r>
      <w:proofErr w:type="spellStart"/>
      <w:r>
        <w:t>Intec</w:t>
      </w:r>
      <w:proofErr w:type="spellEnd"/>
      <w:r>
        <w:rPr>
          <w:spacing w:val="-2"/>
        </w:rPr>
        <w:t xml:space="preserve"> </w:t>
      </w:r>
      <w:r>
        <w:t>dispense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du</w:t>
      </w:r>
      <w:r>
        <w:rPr>
          <w:spacing w:val="3"/>
        </w:rPr>
        <w:t xml:space="preserve"> </w:t>
      </w:r>
      <w:r>
        <w:rPr>
          <w:b/>
          <w:color w:val="0000FF"/>
        </w:rPr>
        <w:t>DSCG</w:t>
      </w:r>
      <w:r>
        <w:rPr>
          <w:b/>
          <w:color w:val="0000FF"/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l’Etat</w:t>
      </w:r>
    </w:p>
    <w:p w:rsidR="0063504B" w:rsidRDefault="002615C2">
      <w:pPr>
        <w:pStyle w:val="Corpsdetexte"/>
        <w:spacing w:before="116"/>
        <w:ind w:right="278"/>
        <w:rPr>
          <w:b/>
        </w:rPr>
      </w:pPr>
      <w:bookmarkStart w:id="4" w:name="L'institut_propose_d'autres_formations_q"/>
      <w:bookmarkEnd w:id="4"/>
      <w:r>
        <w:t>L'institut</w:t>
      </w:r>
      <w:r>
        <w:rPr>
          <w:spacing w:val="24"/>
        </w:rPr>
        <w:t xml:space="preserve"> </w:t>
      </w:r>
      <w:r>
        <w:t>propose</w:t>
      </w:r>
      <w:r>
        <w:rPr>
          <w:spacing w:val="23"/>
        </w:rPr>
        <w:t xml:space="preserve"> </w:t>
      </w:r>
      <w:r>
        <w:t>d'autres</w:t>
      </w:r>
      <w:r>
        <w:rPr>
          <w:spacing w:val="25"/>
        </w:rPr>
        <w:t xml:space="preserve"> </w:t>
      </w:r>
      <w:r>
        <w:t>formations</w:t>
      </w:r>
      <w:r>
        <w:rPr>
          <w:spacing w:val="25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répondent</w:t>
      </w:r>
      <w:r>
        <w:rPr>
          <w:spacing w:val="29"/>
        </w:rPr>
        <w:t xml:space="preserve"> </w:t>
      </w:r>
      <w:r>
        <w:t>aux</w:t>
      </w:r>
      <w:r>
        <w:rPr>
          <w:spacing w:val="24"/>
        </w:rPr>
        <w:t xml:space="preserve"> </w:t>
      </w:r>
      <w:r>
        <w:t>attentes</w:t>
      </w:r>
      <w:r>
        <w:rPr>
          <w:spacing w:val="25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professionnels</w:t>
      </w:r>
      <w:r>
        <w:rPr>
          <w:spacing w:val="25"/>
        </w:rPr>
        <w:t xml:space="preserve"> </w:t>
      </w:r>
      <w:r>
        <w:t>qui</w:t>
      </w:r>
      <w:r>
        <w:rPr>
          <w:spacing w:val="27"/>
        </w:rPr>
        <w:t xml:space="preserve"> </w:t>
      </w:r>
      <w:r>
        <w:t>souhaitent</w:t>
      </w:r>
      <w:r>
        <w:rPr>
          <w:spacing w:val="24"/>
        </w:rPr>
        <w:t xml:space="preserve"> </w:t>
      </w:r>
      <w:r>
        <w:t>poursuivre</w:t>
      </w:r>
      <w:r>
        <w:rPr>
          <w:spacing w:val="23"/>
        </w:rPr>
        <w:t xml:space="preserve"> </w:t>
      </w:r>
      <w:r>
        <w:t>des études sur une année en se spécialisant dans un domaine de compétence spécifique</w:t>
      </w:r>
      <w:r>
        <w:rPr>
          <w:spacing w:val="40"/>
        </w:rPr>
        <w:t xml:space="preserve"> </w:t>
      </w:r>
      <w:r>
        <w:rPr>
          <w:rFonts w:ascii="Wingdings" w:hAnsi="Wingdings"/>
        </w:rPr>
        <w:t></w:t>
      </w:r>
      <w:r>
        <w:rPr>
          <w:b/>
          <w:color w:val="0000FF"/>
        </w:rPr>
        <w:t>Certificats de spécialisation</w:t>
      </w:r>
    </w:p>
    <w:p w:rsidR="0063504B" w:rsidRDefault="002615C2">
      <w:pPr>
        <w:pStyle w:val="Titre1"/>
        <w:spacing w:before="229"/>
      </w:pP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basée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enseignement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63504B" w:rsidRDefault="002615C2">
      <w:pPr>
        <w:pStyle w:val="Corpsdetexte"/>
        <w:spacing w:before="71" w:line="278" w:lineRule="auto"/>
        <w:ind w:right="280"/>
        <w:jc w:val="both"/>
      </w:pPr>
      <w:bookmarkStart w:id="5" w:name="Pour_chaque_Unité_d’Enseignement_(UE),_l"/>
      <w:bookmarkEnd w:id="5"/>
      <w:r>
        <w:t>Pour chaque Unité d’Enseignement (UE), le cours comprend quatre supports, numérotés de 1 à 4, couvrant la totalité</w:t>
      </w:r>
      <w:r>
        <w:rPr>
          <w:spacing w:val="80"/>
        </w:rPr>
        <w:t xml:space="preserve"> </w:t>
      </w:r>
      <w:r>
        <w:t>du programme des études. Les cours sont envoyés par courrier (AMANA) à votre domicile pendant l’année</w:t>
      </w:r>
      <w:r>
        <w:rPr>
          <w:spacing w:val="80"/>
        </w:rPr>
        <w:t xml:space="preserve"> </w:t>
      </w:r>
      <w:r>
        <w:t>universitaire selon le calendrier de travail du diplôme suivi.</w:t>
      </w:r>
    </w:p>
    <w:p w:rsidR="0063504B" w:rsidRDefault="002615C2">
      <w:pPr>
        <w:pStyle w:val="Corpsdetexte"/>
        <w:spacing w:line="276" w:lineRule="auto"/>
        <w:ind w:right="283"/>
        <w:jc w:val="both"/>
      </w:pPr>
      <w:bookmarkStart w:id="6" w:name="En_plus_des_cours_imprimés,_un_accès_à_l"/>
      <w:bookmarkEnd w:id="6"/>
      <w:r>
        <w:t xml:space="preserve">En plus des cours imprimés, un accès à la plateforme Moodle </w:t>
      </w:r>
      <w:r>
        <w:rPr>
          <w:b/>
          <w:color w:val="2A4DF9"/>
        </w:rPr>
        <w:t xml:space="preserve">(https://lecnam.net) </w:t>
      </w:r>
      <w:r>
        <w:t>et la mise à disposition de nombreuses ressources pédagogiques en ligne :</w:t>
      </w:r>
    </w:p>
    <w:p w:rsidR="0063504B" w:rsidRDefault="002615C2">
      <w:pPr>
        <w:pStyle w:val="Paragraphedeliste"/>
        <w:numPr>
          <w:ilvl w:val="0"/>
          <w:numId w:val="6"/>
        </w:numPr>
        <w:tabs>
          <w:tab w:val="left" w:pos="501"/>
        </w:tabs>
        <w:spacing w:before="99"/>
        <w:ind w:left="501" w:hanging="359"/>
        <w:jc w:val="both"/>
        <w:rPr>
          <w:sz w:val="19"/>
        </w:rPr>
      </w:pPr>
      <w:bookmarkStart w:id="7" w:name="-_des_supports_de_cours_en_ligne_(format"/>
      <w:bookmarkEnd w:id="7"/>
      <w:proofErr w:type="gramStart"/>
      <w:r>
        <w:rPr>
          <w:sz w:val="19"/>
        </w:rPr>
        <w:t>des</w:t>
      </w:r>
      <w:proofErr w:type="gramEnd"/>
      <w:r>
        <w:rPr>
          <w:sz w:val="19"/>
        </w:rPr>
        <w:t xml:space="preserve"> supports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cours</w:t>
      </w:r>
      <w:r>
        <w:rPr>
          <w:spacing w:val="-5"/>
          <w:sz w:val="19"/>
        </w:rPr>
        <w:t xml:space="preserve"> </w:t>
      </w:r>
      <w:r>
        <w:rPr>
          <w:sz w:val="19"/>
        </w:rPr>
        <w:t>en</w:t>
      </w:r>
      <w:r>
        <w:rPr>
          <w:spacing w:val="-1"/>
          <w:sz w:val="19"/>
        </w:rPr>
        <w:t xml:space="preserve"> </w:t>
      </w:r>
      <w:r>
        <w:rPr>
          <w:sz w:val="19"/>
        </w:rPr>
        <w:t>ligne</w:t>
      </w:r>
      <w:r>
        <w:rPr>
          <w:spacing w:val="-1"/>
          <w:sz w:val="19"/>
        </w:rPr>
        <w:t xml:space="preserve"> </w:t>
      </w:r>
      <w:r>
        <w:rPr>
          <w:sz w:val="19"/>
        </w:rPr>
        <w:t>(format</w:t>
      </w:r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ePub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PDF</w:t>
      </w:r>
      <w:r>
        <w:rPr>
          <w:spacing w:val="37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19"/>
        </w:rPr>
        <w:t>les</w:t>
      </w:r>
      <w:r>
        <w:rPr>
          <w:spacing w:val="-5"/>
          <w:sz w:val="19"/>
        </w:rPr>
        <w:t xml:space="preserve"> </w:t>
      </w:r>
      <w:r>
        <w:rPr>
          <w:sz w:val="19"/>
        </w:rPr>
        <w:t>corrigés</w:t>
      </w:r>
      <w:r>
        <w:rPr>
          <w:spacing w:val="-5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devoirs</w:t>
      </w:r>
      <w:r>
        <w:rPr>
          <w:spacing w:val="-5"/>
          <w:sz w:val="19"/>
        </w:rPr>
        <w:t xml:space="preserve"> </w:t>
      </w:r>
      <w:r>
        <w:rPr>
          <w:sz w:val="19"/>
        </w:rPr>
        <w:t>à</w:t>
      </w:r>
      <w:r>
        <w:rPr>
          <w:spacing w:val="-1"/>
          <w:sz w:val="19"/>
        </w:rPr>
        <w:t xml:space="preserve"> </w:t>
      </w:r>
      <w:r>
        <w:rPr>
          <w:sz w:val="19"/>
        </w:rPr>
        <w:t>télécharger</w:t>
      </w:r>
      <w:r>
        <w:rPr>
          <w:spacing w:val="3"/>
          <w:sz w:val="19"/>
        </w:rPr>
        <w:t xml:space="preserve"> </w:t>
      </w:r>
      <w:r>
        <w:rPr>
          <w:spacing w:val="-10"/>
          <w:sz w:val="19"/>
        </w:rPr>
        <w:t>;</w:t>
      </w:r>
    </w:p>
    <w:p w:rsidR="0063504B" w:rsidRDefault="002615C2">
      <w:pPr>
        <w:pStyle w:val="Paragraphedeliste"/>
        <w:numPr>
          <w:ilvl w:val="0"/>
          <w:numId w:val="6"/>
        </w:numPr>
        <w:tabs>
          <w:tab w:val="left" w:pos="502"/>
        </w:tabs>
        <w:spacing w:before="32" w:line="242" w:lineRule="auto"/>
        <w:ind w:right="149"/>
        <w:rPr>
          <w:sz w:val="19"/>
        </w:rPr>
      </w:pPr>
      <w:proofErr w:type="gramStart"/>
      <w:r>
        <w:rPr>
          <w:sz w:val="19"/>
        </w:rPr>
        <w:t>des</w:t>
      </w:r>
      <w:proofErr w:type="gramEnd"/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webconférences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pour</w:t>
      </w:r>
      <w:r>
        <w:rPr>
          <w:spacing w:val="40"/>
          <w:sz w:val="19"/>
        </w:rPr>
        <w:t xml:space="preserve"> </w:t>
      </w:r>
      <w:r>
        <w:rPr>
          <w:sz w:val="19"/>
        </w:rPr>
        <w:t>interagir</w:t>
      </w:r>
      <w:r>
        <w:rPr>
          <w:spacing w:val="40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direct</w:t>
      </w:r>
      <w:r>
        <w:rPr>
          <w:spacing w:val="40"/>
          <w:sz w:val="19"/>
        </w:rPr>
        <w:t xml:space="preserve"> </w:t>
      </w:r>
      <w:r>
        <w:rPr>
          <w:sz w:val="19"/>
        </w:rPr>
        <w:t>avec</w:t>
      </w:r>
      <w:r>
        <w:rPr>
          <w:spacing w:val="40"/>
          <w:sz w:val="19"/>
        </w:rPr>
        <w:t xml:space="preserve"> </w:t>
      </w:r>
      <w:r>
        <w:rPr>
          <w:sz w:val="19"/>
        </w:rPr>
        <w:t>les</w:t>
      </w:r>
      <w:r>
        <w:rPr>
          <w:spacing w:val="37"/>
          <w:sz w:val="19"/>
        </w:rPr>
        <w:t xml:space="preserve"> </w:t>
      </w:r>
      <w:r>
        <w:rPr>
          <w:sz w:val="19"/>
        </w:rPr>
        <w:t>enseignants.</w:t>
      </w:r>
      <w:r>
        <w:rPr>
          <w:spacing w:val="40"/>
          <w:sz w:val="19"/>
        </w:rPr>
        <w:t xml:space="preserve"> </w:t>
      </w:r>
      <w:r>
        <w:rPr>
          <w:sz w:val="19"/>
        </w:rPr>
        <w:t>Elles</w:t>
      </w:r>
      <w:r>
        <w:rPr>
          <w:spacing w:val="40"/>
          <w:sz w:val="19"/>
        </w:rPr>
        <w:t xml:space="preserve"> </w:t>
      </w:r>
      <w:r>
        <w:rPr>
          <w:sz w:val="19"/>
        </w:rPr>
        <w:t>peuvent</w:t>
      </w:r>
      <w:r>
        <w:rPr>
          <w:spacing w:val="40"/>
          <w:sz w:val="19"/>
        </w:rPr>
        <w:t xml:space="preserve"> </w:t>
      </w:r>
      <w:r>
        <w:rPr>
          <w:sz w:val="19"/>
        </w:rPr>
        <w:t>aussi</w:t>
      </w:r>
      <w:r>
        <w:rPr>
          <w:spacing w:val="38"/>
          <w:sz w:val="19"/>
        </w:rPr>
        <w:t xml:space="preserve"> </w:t>
      </w:r>
      <w:r>
        <w:rPr>
          <w:sz w:val="19"/>
        </w:rPr>
        <w:t>être</w:t>
      </w:r>
      <w:r>
        <w:rPr>
          <w:spacing w:val="40"/>
          <w:sz w:val="19"/>
        </w:rPr>
        <w:t xml:space="preserve"> </w:t>
      </w:r>
      <w:r>
        <w:rPr>
          <w:sz w:val="19"/>
        </w:rPr>
        <w:t>visionnées</w:t>
      </w:r>
      <w:r>
        <w:rPr>
          <w:spacing w:val="37"/>
          <w:sz w:val="19"/>
        </w:rPr>
        <w:t xml:space="preserve"> </w:t>
      </w:r>
      <w:r>
        <w:rPr>
          <w:sz w:val="19"/>
        </w:rPr>
        <w:t>en</w:t>
      </w:r>
      <w:r>
        <w:rPr>
          <w:spacing w:val="40"/>
          <w:sz w:val="19"/>
        </w:rPr>
        <w:t xml:space="preserve"> </w:t>
      </w:r>
      <w:r>
        <w:rPr>
          <w:sz w:val="19"/>
        </w:rPr>
        <w:t>différé,</w:t>
      </w:r>
      <w:r>
        <w:rPr>
          <w:spacing w:val="37"/>
          <w:sz w:val="19"/>
        </w:rPr>
        <w:t xml:space="preserve"> </w:t>
      </w:r>
      <w:r>
        <w:rPr>
          <w:sz w:val="19"/>
        </w:rPr>
        <w:t>de manière illimitée ;</w:t>
      </w:r>
    </w:p>
    <w:p w:rsidR="0063504B" w:rsidRDefault="002615C2">
      <w:pPr>
        <w:pStyle w:val="Paragraphedeliste"/>
        <w:numPr>
          <w:ilvl w:val="0"/>
          <w:numId w:val="6"/>
        </w:numPr>
        <w:tabs>
          <w:tab w:val="left" w:pos="502"/>
        </w:tabs>
        <w:spacing w:before="0" w:line="237" w:lineRule="auto"/>
        <w:ind w:right="135"/>
        <w:rPr>
          <w:sz w:val="19"/>
        </w:rPr>
      </w:pPr>
      <w:proofErr w:type="gramStart"/>
      <w:r>
        <w:rPr>
          <w:sz w:val="19"/>
        </w:rPr>
        <w:t>un</w:t>
      </w:r>
      <w:proofErr w:type="gramEnd"/>
      <w:r>
        <w:rPr>
          <w:spacing w:val="22"/>
          <w:sz w:val="19"/>
        </w:rPr>
        <w:t xml:space="preserve"> </w:t>
      </w:r>
      <w:r>
        <w:rPr>
          <w:sz w:val="19"/>
        </w:rPr>
        <w:t>forum</w:t>
      </w:r>
      <w:r>
        <w:rPr>
          <w:spacing w:val="18"/>
          <w:sz w:val="19"/>
        </w:rPr>
        <w:t xml:space="preserve"> </w:t>
      </w:r>
      <w:r>
        <w:rPr>
          <w:sz w:val="19"/>
        </w:rPr>
        <w:t>de</w:t>
      </w:r>
      <w:r>
        <w:rPr>
          <w:spacing w:val="26"/>
          <w:sz w:val="19"/>
        </w:rPr>
        <w:t xml:space="preserve"> </w:t>
      </w:r>
      <w:r>
        <w:rPr>
          <w:sz w:val="19"/>
        </w:rPr>
        <w:t>discussion</w:t>
      </w:r>
      <w:r>
        <w:rPr>
          <w:spacing w:val="18"/>
          <w:sz w:val="19"/>
        </w:rPr>
        <w:t xml:space="preserve"> </w:t>
      </w:r>
      <w:r>
        <w:rPr>
          <w:sz w:val="19"/>
        </w:rPr>
        <w:t>pour</w:t>
      </w:r>
      <w:r>
        <w:rPr>
          <w:spacing w:val="17"/>
          <w:sz w:val="19"/>
        </w:rPr>
        <w:t xml:space="preserve"> </w:t>
      </w:r>
      <w:r>
        <w:rPr>
          <w:sz w:val="19"/>
        </w:rPr>
        <w:t>échanger</w:t>
      </w:r>
      <w:r>
        <w:rPr>
          <w:spacing w:val="21"/>
          <w:sz w:val="19"/>
        </w:rPr>
        <w:t xml:space="preserve"> </w:t>
      </w:r>
      <w:r>
        <w:rPr>
          <w:sz w:val="19"/>
        </w:rPr>
        <w:t>avec</w:t>
      </w:r>
      <w:r>
        <w:rPr>
          <w:spacing w:val="21"/>
          <w:sz w:val="19"/>
        </w:rPr>
        <w:t xml:space="preserve"> </w:t>
      </w:r>
      <w:r>
        <w:rPr>
          <w:sz w:val="19"/>
        </w:rPr>
        <w:t>les</w:t>
      </w:r>
      <w:r>
        <w:rPr>
          <w:spacing w:val="19"/>
          <w:sz w:val="19"/>
        </w:rPr>
        <w:t xml:space="preserve"> </w:t>
      </w:r>
      <w:r>
        <w:rPr>
          <w:sz w:val="19"/>
        </w:rPr>
        <w:t>autres</w:t>
      </w:r>
      <w:r>
        <w:rPr>
          <w:spacing w:val="19"/>
          <w:sz w:val="19"/>
        </w:rPr>
        <w:t xml:space="preserve"> </w:t>
      </w:r>
      <w:r>
        <w:rPr>
          <w:sz w:val="19"/>
        </w:rPr>
        <w:t>élèves</w:t>
      </w:r>
      <w:r>
        <w:rPr>
          <w:spacing w:val="19"/>
          <w:sz w:val="19"/>
        </w:rPr>
        <w:t xml:space="preserve"> </w:t>
      </w:r>
      <w:r>
        <w:rPr>
          <w:sz w:val="19"/>
        </w:rPr>
        <w:t>et</w:t>
      </w:r>
      <w:r>
        <w:rPr>
          <w:spacing w:val="26"/>
          <w:sz w:val="19"/>
        </w:rPr>
        <w:t xml:space="preserve"> </w:t>
      </w:r>
      <w:r>
        <w:rPr>
          <w:sz w:val="19"/>
        </w:rPr>
        <w:t>poser</w:t>
      </w:r>
      <w:r>
        <w:rPr>
          <w:spacing w:val="21"/>
          <w:sz w:val="19"/>
        </w:rPr>
        <w:t xml:space="preserve"> </w:t>
      </w:r>
      <w:r>
        <w:rPr>
          <w:sz w:val="19"/>
        </w:rPr>
        <w:t>des</w:t>
      </w:r>
      <w:r>
        <w:rPr>
          <w:spacing w:val="19"/>
          <w:sz w:val="19"/>
        </w:rPr>
        <w:t xml:space="preserve"> </w:t>
      </w:r>
      <w:r>
        <w:rPr>
          <w:sz w:val="19"/>
        </w:rPr>
        <w:t>questions</w:t>
      </w:r>
      <w:r>
        <w:rPr>
          <w:spacing w:val="19"/>
          <w:sz w:val="19"/>
        </w:rPr>
        <w:t xml:space="preserve"> </w:t>
      </w:r>
      <w:r>
        <w:rPr>
          <w:sz w:val="19"/>
        </w:rPr>
        <w:t>au</w:t>
      </w:r>
      <w:r>
        <w:rPr>
          <w:spacing w:val="15"/>
          <w:sz w:val="19"/>
        </w:rPr>
        <w:t xml:space="preserve"> </w:t>
      </w:r>
      <w:r>
        <w:rPr>
          <w:sz w:val="19"/>
        </w:rPr>
        <w:t>responsable</w:t>
      </w:r>
      <w:r>
        <w:rPr>
          <w:spacing w:val="21"/>
          <w:sz w:val="19"/>
        </w:rPr>
        <w:t xml:space="preserve"> </w:t>
      </w:r>
      <w:r>
        <w:rPr>
          <w:sz w:val="19"/>
        </w:rPr>
        <w:t>national</w:t>
      </w:r>
      <w:r>
        <w:rPr>
          <w:spacing w:val="24"/>
          <w:sz w:val="19"/>
        </w:rPr>
        <w:t xml:space="preserve"> </w:t>
      </w:r>
      <w:r>
        <w:rPr>
          <w:sz w:val="19"/>
        </w:rPr>
        <w:t>de</w:t>
      </w:r>
      <w:r>
        <w:rPr>
          <w:spacing w:val="21"/>
          <w:sz w:val="19"/>
        </w:rPr>
        <w:t xml:space="preserve"> </w:t>
      </w:r>
      <w:r>
        <w:rPr>
          <w:sz w:val="19"/>
        </w:rPr>
        <w:t>chaque unité d’enseignement (UE) ;</w:t>
      </w:r>
    </w:p>
    <w:p w:rsidR="0063504B" w:rsidRDefault="002615C2">
      <w:pPr>
        <w:pStyle w:val="Paragraphedeliste"/>
        <w:numPr>
          <w:ilvl w:val="0"/>
          <w:numId w:val="6"/>
        </w:numPr>
        <w:tabs>
          <w:tab w:val="left" w:pos="501"/>
        </w:tabs>
        <w:ind w:left="501" w:hanging="359"/>
        <w:rPr>
          <w:sz w:val="19"/>
        </w:rPr>
      </w:pPr>
      <w:proofErr w:type="gramStart"/>
      <w:r>
        <w:rPr>
          <w:sz w:val="19"/>
        </w:rPr>
        <w:t>des</w:t>
      </w:r>
      <w:proofErr w:type="gramEnd"/>
      <w:r>
        <w:rPr>
          <w:spacing w:val="-7"/>
          <w:sz w:val="19"/>
        </w:rPr>
        <w:t xml:space="preserve"> </w:t>
      </w:r>
      <w:r>
        <w:rPr>
          <w:sz w:val="19"/>
        </w:rPr>
        <w:t>compléments</w:t>
      </w:r>
      <w:r>
        <w:rPr>
          <w:spacing w:val="-1"/>
          <w:sz w:val="19"/>
        </w:rPr>
        <w:t xml:space="preserve"> </w:t>
      </w:r>
      <w:r>
        <w:rPr>
          <w:sz w:val="19"/>
        </w:rPr>
        <w:t>pédagogiques</w:t>
      </w:r>
      <w:r>
        <w:rPr>
          <w:spacing w:val="-2"/>
          <w:sz w:val="19"/>
        </w:rPr>
        <w:t xml:space="preserve"> </w:t>
      </w:r>
      <w:r>
        <w:rPr>
          <w:sz w:val="19"/>
        </w:rPr>
        <w:t>(exercices</w:t>
      </w:r>
      <w:r>
        <w:rPr>
          <w:spacing w:val="-6"/>
          <w:sz w:val="19"/>
        </w:rPr>
        <w:t xml:space="preserve"> </w:t>
      </w:r>
      <w:r>
        <w:rPr>
          <w:sz w:val="19"/>
        </w:rPr>
        <w:t>interactifs,</w:t>
      </w:r>
      <w:r>
        <w:rPr>
          <w:spacing w:val="32"/>
          <w:sz w:val="19"/>
        </w:rPr>
        <w:t xml:space="preserve"> </w:t>
      </w:r>
      <w:r>
        <w:rPr>
          <w:sz w:val="19"/>
        </w:rPr>
        <w:t>annales</w:t>
      </w:r>
      <w:r>
        <w:rPr>
          <w:spacing w:val="-2"/>
          <w:sz w:val="19"/>
        </w:rPr>
        <w:t xml:space="preserve"> </w:t>
      </w:r>
      <w:r>
        <w:rPr>
          <w:sz w:val="19"/>
        </w:rPr>
        <w:t>d’examens)</w:t>
      </w:r>
      <w:r>
        <w:rPr>
          <w:spacing w:val="-2"/>
          <w:sz w:val="19"/>
        </w:rPr>
        <w:t xml:space="preserve"> </w:t>
      </w:r>
      <w:r>
        <w:rPr>
          <w:sz w:val="19"/>
        </w:rPr>
        <w:t>pour</w:t>
      </w:r>
      <w:r>
        <w:rPr>
          <w:spacing w:val="-4"/>
          <w:sz w:val="19"/>
        </w:rPr>
        <w:t xml:space="preserve"> </w:t>
      </w:r>
      <w:r>
        <w:rPr>
          <w:sz w:val="19"/>
        </w:rPr>
        <w:t>tester</w:t>
      </w:r>
      <w:r>
        <w:rPr>
          <w:spacing w:val="2"/>
          <w:sz w:val="19"/>
        </w:rPr>
        <w:t xml:space="preserve"> </w:t>
      </w:r>
      <w:r>
        <w:rPr>
          <w:sz w:val="19"/>
        </w:rPr>
        <w:t>vos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connaissances.</w:t>
      </w:r>
    </w:p>
    <w:p w:rsidR="0063504B" w:rsidRDefault="002615C2">
      <w:pPr>
        <w:spacing w:before="133"/>
        <w:ind w:left="142" w:right="288"/>
        <w:jc w:val="both"/>
        <w:rPr>
          <w:sz w:val="20"/>
        </w:rPr>
      </w:pPr>
      <w:r>
        <w:rPr>
          <w:b/>
          <w:sz w:val="20"/>
        </w:rPr>
        <w:t>Les cours présentiels, une formule complémentaire</w:t>
      </w:r>
      <w:r>
        <w:rPr>
          <w:b/>
          <w:spacing w:val="-9"/>
          <w:sz w:val="20"/>
        </w:rPr>
        <w:t xml:space="preserve"> </w:t>
      </w:r>
      <w:r>
        <w:rPr>
          <w:b/>
          <w:sz w:val="16"/>
        </w:rPr>
        <w:t>:</w:t>
      </w:r>
      <w:r>
        <w:rPr>
          <w:b/>
          <w:spacing w:val="21"/>
          <w:sz w:val="16"/>
        </w:rPr>
        <w:t xml:space="preserve"> </w:t>
      </w:r>
      <w:r>
        <w:rPr>
          <w:sz w:val="20"/>
        </w:rPr>
        <w:t>Selon effectifs, le cours à distance peut être complété par des cours présentiels (séances de regroupement et séminaires de révision) organisés par le centre Groupe ISCAE.</w:t>
      </w:r>
    </w:p>
    <w:p w:rsidR="0063504B" w:rsidRDefault="002615C2">
      <w:pPr>
        <w:pStyle w:val="Titre1"/>
      </w:pPr>
      <w:r>
        <w:t>Les</w:t>
      </w:r>
      <w:r>
        <w:rPr>
          <w:spacing w:val="-8"/>
        </w:rPr>
        <w:t xml:space="preserve"> </w:t>
      </w:r>
      <w:r>
        <w:t>spécificités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</w:t>
      </w:r>
      <w:proofErr w:type="spellStart"/>
      <w:r>
        <w:t>Intec</w:t>
      </w:r>
      <w:proofErr w:type="spellEnd"/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63504B" w:rsidRDefault="002615C2">
      <w:pPr>
        <w:pStyle w:val="Paragraphedeliste"/>
        <w:numPr>
          <w:ilvl w:val="0"/>
          <w:numId w:val="5"/>
        </w:numPr>
        <w:tabs>
          <w:tab w:val="left" w:pos="500"/>
          <w:tab w:val="left" w:pos="502"/>
        </w:tabs>
        <w:spacing w:before="181" w:line="242" w:lineRule="auto"/>
        <w:ind w:right="281"/>
        <w:jc w:val="both"/>
        <w:rPr>
          <w:sz w:val="20"/>
        </w:rPr>
      </w:pPr>
      <w:r>
        <w:rPr>
          <w:b/>
          <w:sz w:val="20"/>
        </w:rPr>
        <w:t>Une équipe dédiée à la conception d’une pédagogie originale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Une équipe</w:t>
      </w:r>
      <w:r>
        <w:rPr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d’e</w:t>
      </w:r>
      <w:r>
        <w:rPr>
          <w:sz w:val="20"/>
        </w:rPr>
        <w:t>nseignants universitaires et agrégés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classes</w:t>
      </w:r>
      <w:r>
        <w:rPr>
          <w:spacing w:val="-2"/>
          <w:sz w:val="20"/>
        </w:rPr>
        <w:t xml:space="preserve"> </w:t>
      </w:r>
      <w:r>
        <w:rPr>
          <w:sz w:val="20"/>
        </w:rPr>
        <w:t>préparatoires conçoit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supports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formation</w:t>
      </w:r>
      <w:r>
        <w:rPr>
          <w:spacing w:val="-3"/>
          <w:sz w:val="20"/>
        </w:rPr>
        <w:t xml:space="preserve"> </w:t>
      </w:r>
      <w:r>
        <w:rPr>
          <w:sz w:val="20"/>
        </w:rPr>
        <w:t>originaux</w:t>
      </w:r>
      <w:r>
        <w:rPr>
          <w:spacing w:val="-3"/>
          <w:sz w:val="20"/>
        </w:rPr>
        <w:t xml:space="preserve"> </w:t>
      </w:r>
      <w:r>
        <w:rPr>
          <w:sz w:val="20"/>
        </w:rPr>
        <w:t>actualisés</w:t>
      </w:r>
      <w:r>
        <w:rPr>
          <w:spacing w:val="-2"/>
          <w:sz w:val="20"/>
        </w:rPr>
        <w:t xml:space="preserve"> </w:t>
      </w:r>
      <w:r>
        <w:rPr>
          <w:sz w:val="20"/>
        </w:rPr>
        <w:t>tous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ans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animent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les équipes d’enseignants dont de nombreux praticiens pour assurer les formations à distance à Paris et dans notre </w:t>
      </w:r>
      <w:r>
        <w:rPr>
          <w:spacing w:val="-2"/>
          <w:sz w:val="20"/>
        </w:rPr>
        <w:t>centre.</w:t>
      </w:r>
    </w:p>
    <w:p w:rsidR="0063504B" w:rsidRDefault="002615C2">
      <w:pPr>
        <w:pStyle w:val="Paragraphedeliste"/>
        <w:numPr>
          <w:ilvl w:val="0"/>
          <w:numId w:val="5"/>
        </w:numPr>
        <w:tabs>
          <w:tab w:val="left" w:pos="500"/>
          <w:tab w:val="left" w:pos="502"/>
        </w:tabs>
        <w:spacing w:line="235" w:lineRule="auto"/>
        <w:ind w:right="287"/>
        <w:jc w:val="both"/>
        <w:rPr>
          <w:sz w:val="20"/>
        </w:rPr>
      </w:pPr>
      <w:r>
        <w:rPr>
          <w:b/>
          <w:sz w:val="20"/>
        </w:rPr>
        <w:t xml:space="preserve">Les </w:t>
      </w:r>
      <w:proofErr w:type="spellStart"/>
      <w:r>
        <w:rPr>
          <w:b/>
          <w:sz w:val="20"/>
        </w:rPr>
        <w:t>webconférences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L'</w:t>
      </w:r>
      <w:proofErr w:type="spellStart"/>
      <w:r>
        <w:rPr>
          <w:sz w:val="20"/>
        </w:rPr>
        <w:t>Intec</w:t>
      </w:r>
      <w:proofErr w:type="spellEnd"/>
      <w:r>
        <w:rPr>
          <w:sz w:val="20"/>
        </w:rPr>
        <w:t xml:space="preserve"> propose 28 heures de </w:t>
      </w:r>
      <w:proofErr w:type="spellStart"/>
      <w:r>
        <w:rPr>
          <w:sz w:val="20"/>
        </w:rPr>
        <w:t>webconférences</w:t>
      </w:r>
      <w:proofErr w:type="spellEnd"/>
      <w:r>
        <w:rPr>
          <w:sz w:val="20"/>
        </w:rPr>
        <w:t xml:space="preserve"> par UE dans toutes ses formules. Elles sont interactives et permettent aux élèves de faire le point sur leurs connaissances et leurs acquis.</w:t>
      </w:r>
    </w:p>
    <w:p w:rsidR="0063504B" w:rsidRDefault="0063504B">
      <w:pPr>
        <w:pStyle w:val="Corpsdetexte"/>
        <w:spacing w:before="3"/>
        <w:ind w:left="0"/>
      </w:pPr>
    </w:p>
    <w:p w:rsidR="0063504B" w:rsidRDefault="002615C2">
      <w:pPr>
        <w:pStyle w:val="Corpsdetexte"/>
        <w:ind w:right="280"/>
        <w:jc w:val="both"/>
      </w:pPr>
      <w:r>
        <w:t>Une seule session d’examens de l’</w:t>
      </w:r>
      <w:proofErr w:type="spellStart"/>
      <w:r>
        <w:t>Intec</w:t>
      </w:r>
      <w:proofErr w:type="spellEnd"/>
      <w:r>
        <w:t xml:space="preserve"> est organisée à l’ISCAE Casablanca selon le calendrier officiel établi par l’</w:t>
      </w:r>
      <w:proofErr w:type="spellStart"/>
      <w:r>
        <w:t>Intec</w:t>
      </w:r>
      <w:proofErr w:type="spellEnd"/>
      <w:r>
        <w:t xml:space="preserve"> </w:t>
      </w:r>
      <w:r>
        <w:rPr>
          <w:spacing w:val="-2"/>
        </w:rPr>
        <w:t>Paris.</w:t>
      </w:r>
    </w:p>
    <w:p w:rsidR="0063504B" w:rsidRDefault="002615C2">
      <w:pPr>
        <w:tabs>
          <w:tab w:val="left" w:pos="10379"/>
        </w:tabs>
        <w:spacing w:before="139" w:after="34"/>
        <w:ind w:left="142"/>
        <w:rPr>
          <w:rFonts w:ascii="Verdana" w:hAnsi="Verdana"/>
          <w:b/>
          <w:sz w:val="20"/>
        </w:rPr>
      </w:pPr>
      <w:bookmarkStart w:id="8" w:name="Pour_tout_savoir_sur_les_modalités_d’ins"/>
      <w:bookmarkEnd w:id="8"/>
      <w:r>
        <w:rPr>
          <w:rFonts w:ascii="Verdana" w:hAnsi="Verdana"/>
          <w:b/>
          <w:color w:val="C1002A"/>
          <w:sz w:val="20"/>
          <w:shd w:val="clear" w:color="auto" w:fill="DEDEDE"/>
        </w:rPr>
        <w:t>Pour</w:t>
      </w:r>
      <w:r>
        <w:rPr>
          <w:rFonts w:ascii="Verdana" w:hAnsi="Verdana"/>
          <w:b/>
          <w:color w:val="C1002A"/>
          <w:spacing w:val="-9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tout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savoir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sur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les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modalités</w:t>
      </w:r>
      <w:r>
        <w:rPr>
          <w:rFonts w:ascii="Verdana" w:hAnsi="Verdana"/>
          <w:b/>
          <w:color w:val="C1002A"/>
          <w:spacing w:val="-7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d’inscription,</w:t>
      </w:r>
      <w:r>
        <w:rPr>
          <w:rFonts w:ascii="Verdana" w:hAnsi="Verdana"/>
          <w:b/>
          <w:color w:val="C1002A"/>
          <w:spacing w:val="-7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cliquez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sur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les</w:t>
      </w:r>
      <w:r>
        <w:rPr>
          <w:rFonts w:ascii="Verdana" w:hAns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liens</w:t>
      </w:r>
      <w:r>
        <w:rPr>
          <w:rFonts w:ascii="Verdana" w:hAnsi="Verdana"/>
          <w:b/>
          <w:color w:val="C1002A"/>
          <w:spacing w:val="-7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>suivants</w:t>
      </w:r>
      <w:r>
        <w:rPr>
          <w:rFonts w:ascii="Verdana" w:hAnsi="Verdana"/>
          <w:b/>
          <w:color w:val="C1002A"/>
          <w:spacing w:val="-7"/>
          <w:sz w:val="20"/>
          <w:shd w:val="clear" w:color="auto" w:fill="DEDEDE"/>
        </w:rPr>
        <w:t xml:space="preserve"> </w:t>
      </w:r>
      <w:r>
        <w:rPr>
          <w:rFonts w:ascii="Verdana" w:hAnsi="Verdana"/>
          <w:b/>
          <w:color w:val="C1002A"/>
          <w:spacing w:val="-10"/>
          <w:sz w:val="20"/>
          <w:shd w:val="clear" w:color="auto" w:fill="DEDEDE"/>
        </w:rPr>
        <w:t>:</w:t>
      </w:r>
      <w:r>
        <w:rPr>
          <w:rFonts w:ascii="Verdana" w:hAnsi="Verdana"/>
          <w:b/>
          <w:color w:val="C1002A"/>
          <w:sz w:val="20"/>
          <w:shd w:val="clear" w:color="auto" w:fill="DEDEDE"/>
        </w:rPr>
        <w:tab/>
      </w: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4751"/>
        <w:gridCol w:w="4097"/>
      </w:tblGrid>
      <w:tr w:rsidR="0063504B">
        <w:trPr>
          <w:trHeight w:val="560"/>
        </w:trPr>
        <w:tc>
          <w:tcPr>
            <w:tcW w:w="4751" w:type="dxa"/>
          </w:tcPr>
          <w:p w:rsidR="0063504B" w:rsidRDefault="002615C2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1"/>
              <w:ind w:hanging="360"/>
              <w:rPr>
                <w:b/>
                <w:i/>
                <w:sz w:val="16"/>
              </w:rPr>
            </w:pPr>
            <w:r>
              <w:rPr>
                <w:b/>
                <w:spacing w:val="-2"/>
                <w:sz w:val="20"/>
              </w:rPr>
              <w:t>Diplômes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l’Expertise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Comptable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(DCG,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DSCG)</w:t>
            </w:r>
          </w:p>
          <w:p w:rsidR="0063504B" w:rsidRDefault="002615C2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ind w:hanging="36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Listes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dispenses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/Validation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des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acquis</w:t>
            </w:r>
          </w:p>
        </w:tc>
        <w:tc>
          <w:tcPr>
            <w:tcW w:w="4097" w:type="dxa"/>
          </w:tcPr>
          <w:p w:rsidR="0063504B" w:rsidRDefault="002615C2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spacing w:before="1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b/>
                <w:sz w:val="20"/>
              </w:rPr>
              <w:t>Quand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s’inscrire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</w:p>
          <w:p w:rsidR="0063504B" w:rsidRDefault="002615C2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rPr>
                <w:b/>
                <w:sz w:val="19"/>
              </w:rPr>
            </w:pPr>
            <w:r>
              <w:rPr>
                <w:b/>
                <w:color w:val="1F2023"/>
                <w:sz w:val="19"/>
              </w:rPr>
              <w:t>Dossier</w:t>
            </w:r>
            <w:r>
              <w:rPr>
                <w:b/>
                <w:color w:val="1F2023"/>
                <w:spacing w:val="-6"/>
                <w:sz w:val="19"/>
              </w:rPr>
              <w:t xml:space="preserve"> </w:t>
            </w:r>
            <w:r>
              <w:rPr>
                <w:b/>
                <w:color w:val="1F2023"/>
                <w:sz w:val="19"/>
              </w:rPr>
              <w:t>d'inscription</w:t>
            </w:r>
            <w:r>
              <w:rPr>
                <w:b/>
                <w:color w:val="1F2023"/>
                <w:spacing w:val="-3"/>
                <w:sz w:val="19"/>
              </w:rPr>
              <w:t xml:space="preserve"> </w:t>
            </w:r>
            <w:r>
              <w:rPr>
                <w:b/>
                <w:color w:val="1F2023"/>
                <w:sz w:val="19"/>
              </w:rPr>
              <w:t>INTEC</w:t>
            </w:r>
            <w:r>
              <w:rPr>
                <w:b/>
                <w:color w:val="1F2023"/>
                <w:spacing w:val="-7"/>
                <w:sz w:val="19"/>
              </w:rPr>
              <w:t xml:space="preserve"> </w:t>
            </w:r>
            <w:r>
              <w:rPr>
                <w:b/>
                <w:color w:val="1F2023"/>
                <w:spacing w:val="-2"/>
                <w:sz w:val="19"/>
              </w:rPr>
              <w:t>2025/2026</w:t>
            </w:r>
          </w:p>
        </w:tc>
      </w:tr>
      <w:tr w:rsidR="0063504B">
        <w:trPr>
          <w:trHeight w:val="291"/>
        </w:trPr>
        <w:tc>
          <w:tcPr>
            <w:tcW w:w="4751" w:type="dxa"/>
          </w:tcPr>
          <w:p w:rsidR="0063504B" w:rsidRDefault="002615C2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22" w:line="250" w:lineRule="exact"/>
              <w:ind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Certificats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spécialisation</w:t>
            </w:r>
          </w:p>
        </w:tc>
        <w:tc>
          <w:tcPr>
            <w:tcW w:w="4097" w:type="dxa"/>
          </w:tcPr>
          <w:p w:rsidR="0063504B" w:rsidRDefault="002615C2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spacing w:before="22" w:line="250" w:lineRule="exact"/>
              <w:rPr>
                <w:rFonts w:ascii="Arial" w:hAnsi="Arial"/>
                <w:b/>
                <w:sz w:val="18"/>
              </w:rPr>
            </w:pPr>
            <w:r>
              <w:rPr>
                <w:b/>
                <w:sz w:val="20"/>
              </w:rPr>
              <w:t>Tarifs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modalités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paiement</w:t>
            </w:r>
            <w:r>
              <w:rPr>
                <w:rFonts w:ascii="Arial" w:hAnsi="Arial"/>
                <w:b/>
                <w:spacing w:val="-2"/>
                <w:sz w:val="18"/>
              </w:rPr>
              <w:t>.</w:t>
            </w:r>
          </w:p>
        </w:tc>
      </w:tr>
    </w:tbl>
    <w:p w:rsidR="0063504B" w:rsidRDefault="002615C2" w:rsidP="002615C2">
      <w:pPr>
        <w:tabs>
          <w:tab w:val="left" w:pos="10379"/>
        </w:tabs>
        <w:spacing w:before="130"/>
        <w:ind w:left="142"/>
        <w:jc w:val="center"/>
        <w:rPr>
          <w:rFonts w:ascii="Verdana"/>
          <w:b/>
          <w:color w:val="C1002A"/>
          <w:spacing w:val="-2"/>
          <w:sz w:val="20"/>
          <w:shd w:val="clear" w:color="auto" w:fill="DEDEDE"/>
        </w:rPr>
      </w:pPr>
      <w:bookmarkStart w:id="10" w:name="Informations_et_Inscriptions"/>
      <w:bookmarkEnd w:id="10"/>
      <w:r>
        <w:rPr>
          <w:rFonts w:ascii="Verdana"/>
          <w:b/>
          <w:color w:val="C1002A"/>
          <w:sz w:val="20"/>
          <w:shd w:val="clear" w:color="auto" w:fill="DEDEDE"/>
        </w:rPr>
        <w:t>Informations</w:t>
      </w:r>
      <w:r>
        <w:rPr>
          <w:rFonts w:ascii="Verdana"/>
          <w:b/>
          <w:color w:val="C1002A"/>
          <w:spacing w:val="-8"/>
          <w:sz w:val="20"/>
          <w:shd w:val="clear" w:color="auto" w:fill="DEDEDE"/>
        </w:rPr>
        <w:t xml:space="preserve"> </w:t>
      </w:r>
      <w:r>
        <w:rPr>
          <w:rFonts w:ascii="Verdana"/>
          <w:b/>
          <w:color w:val="C1002A"/>
          <w:sz w:val="20"/>
          <w:shd w:val="clear" w:color="auto" w:fill="DEDEDE"/>
        </w:rPr>
        <w:t>et</w:t>
      </w:r>
      <w:r>
        <w:rPr>
          <w:rFonts w:ascii="Verdana"/>
          <w:b/>
          <w:color w:val="C1002A"/>
          <w:spacing w:val="-9"/>
          <w:sz w:val="20"/>
          <w:shd w:val="clear" w:color="auto" w:fill="DEDEDE"/>
        </w:rPr>
        <w:t xml:space="preserve"> </w:t>
      </w:r>
      <w:r>
        <w:rPr>
          <w:rFonts w:ascii="Verdana"/>
          <w:b/>
          <w:color w:val="C1002A"/>
          <w:spacing w:val="-2"/>
          <w:sz w:val="20"/>
          <w:shd w:val="clear" w:color="auto" w:fill="DEDEDE"/>
        </w:rPr>
        <w:t>Inscriptions</w:t>
      </w:r>
    </w:p>
    <w:p w:rsidR="00097C2C" w:rsidRPr="00097C2C" w:rsidRDefault="00097C2C" w:rsidP="00097C2C">
      <w:pPr>
        <w:tabs>
          <w:tab w:val="left" w:pos="10379"/>
        </w:tabs>
        <w:spacing w:before="130"/>
        <w:ind w:left="142"/>
        <w:jc w:val="center"/>
        <w:rPr>
          <w:rFonts w:ascii="Verdana"/>
          <w:b/>
          <w:color w:val="C1002A"/>
          <w:spacing w:val="-2"/>
          <w:sz w:val="20"/>
          <w:shd w:val="clear" w:color="auto" w:fill="DEDEDE"/>
        </w:rPr>
      </w:pPr>
      <w:r>
        <w:rPr>
          <w:rFonts w:ascii="Verdana"/>
          <w:b/>
          <w:color w:val="C1002A"/>
          <w:spacing w:val="-2"/>
          <w:sz w:val="20"/>
          <w:shd w:val="clear" w:color="auto" w:fill="DEDEDE"/>
        </w:rPr>
        <w:t>Mme Salma OUBAD</w:t>
      </w:r>
      <w:r>
        <w:rPr>
          <w:rFonts w:ascii="Verdana"/>
          <w:b/>
          <w:color w:val="C1002A"/>
          <w:spacing w:val="-2"/>
          <w:sz w:val="20"/>
          <w:shd w:val="clear" w:color="auto" w:fill="DEDEDE"/>
        </w:rPr>
        <w:t> </w:t>
      </w:r>
      <w:r>
        <w:rPr>
          <w:rFonts w:ascii="Verdana"/>
          <w:b/>
          <w:color w:val="C1002A"/>
          <w:spacing w:val="-2"/>
          <w:sz w:val="20"/>
          <w:shd w:val="clear" w:color="auto" w:fill="DEDEDE"/>
        </w:rPr>
        <w:t xml:space="preserve">: </w:t>
      </w:r>
      <w:r w:rsidRPr="00097C2C">
        <w:rPr>
          <w:rFonts w:ascii="Verdana"/>
          <w:b/>
          <w:color w:val="C1002A"/>
          <w:spacing w:val="-2"/>
          <w:sz w:val="20"/>
          <w:shd w:val="clear" w:color="auto" w:fill="DEDEDE"/>
        </w:rPr>
        <w:t>soubad@groupeiscae.ma</w:t>
      </w:r>
    </w:p>
    <w:sectPr w:rsidR="00097C2C" w:rsidRPr="00097C2C">
      <w:type w:val="continuous"/>
      <w:pgSz w:w="11910" w:h="16840"/>
      <w:pgMar w:top="5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21A8"/>
    <w:multiLevelType w:val="hybridMultilevel"/>
    <w:tmpl w:val="A60ED3F6"/>
    <w:lvl w:ilvl="0" w:tplc="0D1EB4FE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fr-FR" w:eastAsia="en-US" w:bidi="ar-SA"/>
      </w:rPr>
    </w:lvl>
    <w:lvl w:ilvl="1" w:tplc="F41EDC24">
      <w:numFmt w:val="bullet"/>
      <w:lvlText w:val="•"/>
      <w:lvlJc w:val="left"/>
      <w:pPr>
        <w:ind w:left="949" w:hanging="360"/>
      </w:pPr>
      <w:rPr>
        <w:rFonts w:hint="default"/>
        <w:lang w:val="fr-FR" w:eastAsia="en-US" w:bidi="ar-SA"/>
      </w:rPr>
    </w:lvl>
    <w:lvl w:ilvl="2" w:tplc="D35AA404">
      <w:numFmt w:val="bullet"/>
      <w:lvlText w:val="•"/>
      <w:lvlJc w:val="left"/>
      <w:pPr>
        <w:ind w:left="1299" w:hanging="360"/>
      </w:pPr>
      <w:rPr>
        <w:rFonts w:hint="default"/>
        <w:lang w:val="fr-FR" w:eastAsia="en-US" w:bidi="ar-SA"/>
      </w:rPr>
    </w:lvl>
    <w:lvl w:ilvl="3" w:tplc="AF70DAB0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4" w:tplc="152C8B1E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5" w:tplc="62724154">
      <w:numFmt w:val="bullet"/>
      <w:lvlText w:val="•"/>
      <w:lvlJc w:val="left"/>
      <w:pPr>
        <w:ind w:left="2348" w:hanging="360"/>
      </w:pPr>
      <w:rPr>
        <w:rFonts w:hint="default"/>
        <w:lang w:val="fr-FR" w:eastAsia="en-US" w:bidi="ar-SA"/>
      </w:rPr>
    </w:lvl>
    <w:lvl w:ilvl="6" w:tplc="99F83890">
      <w:numFmt w:val="bullet"/>
      <w:lvlText w:val="•"/>
      <w:lvlJc w:val="left"/>
      <w:pPr>
        <w:ind w:left="2698" w:hanging="360"/>
      </w:pPr>
      <w:rPr>
        <w:rFonts w:hint="default"/>
        <w:lang w:val="fr-FR" w:eastAsia="en-US" w:bidi="ar-SA"/>
      </w:rPr>
    </w:lvl>
    <w:lvl w:ilvl="7" w:tplc="5ED0D41C">
      <w:numFmt w:val="bullet"/>
      <w:lvlText w:val="•"/>
      <w:lvlJc w:val="left"/>
      <w:pPr>
        <w:ind w:left="3047" w:hanging="360"/>
      </w:pPr>
      <w:rPr>
        <w:rFonts w:hint="default"/>
        <w:lang w:val="fr-FR" w:eastAsia="en-US" w:bidi="ar-SA"/>
      </w:rPr>
    </w:lvl>
    <w:lvl w:ilvl="8" w:tplc="AD5ADB2A">
      <w:numFmt w:val="bullet"/>
      <w:lvlText w:val="•"/>
      <w:lvlJc w:val="left"/>
      <w:pPr>
        <w:ind w:left="339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DC646C3"/>
    <w:multiLevelType w:val="hybridMultilevel"/>
    <w:tmpl w:val="B0E010FE"/>
    <w:lvl w:ilvl="0" w:tplc="65529AF4"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1"/>
        <w:sz w:val="19"/>
        <w:szCs w:val="19"/>
        <w:lang w:val="fr-FR" w:eastAsia="en-US" w:bidi="ar-SA"/>
      </w:rPr>
    </w:lvl>
    <w:lvl w:ilvl="1" w:tplc="EC14456A">
      <w:numFmt w:val="bullet"/>
      <w:lvlText w:val="•"/>
      <w:lvlJc w:val="left"/>
      <w:pPr>
        <w:ind w:left="1513" w:hanging="360"/>
      </w:pPr>
      <w:rPr>
        <w:rFonts w:hint="default"/>
        <w:lang w:val="fr-FR" w:eastAsia="en-US" w:bidi="ar-SA"/>
      </w:rPr>
    </w:lvl>
    <w:lvl w:ilvl="2" w:tplc="56404CA8">
      <w:numFmt w:val="bullet"/>
      <w:lvlText w:val="•"/>
      <w:lvlJc w:val="left"/>
      <w:pPr>
        <w:ind w:left="2526" w:hanging="360"/>
      </w:pPr>
      <w:rPr>
        <w:rFonts w:hint="default"/>
        <w:lang w:val="fr-FR" w:eastAsia="en-US" w:bidi="ar-SA"/>
      </w:rPr>
    </w:lvl>
    <w:lvl w:ilvl="3" w:tplc="3D02BF16">
      <w:numFmt w:val="bullet"/>
      <w:lvlText w:val="•"/>
      <w:lvlJc w:val="left"/>
      <w:pPr>
        <w:ind w:left="3539" w:hanging="360"/>
      </w:pPr>
      <w:rPr>
        <w:rFonts w:hint="default"/>
        <w:lang w:val="fr-FR" w:eastAsia="en-US" w:bidi="ar-SA"/>
      </w:rPr>
    </w:lvl>
    <w:lvl w:ilvl="4" w:tplc="3564A1B0">
      <w:numFmt w:val="bullet"/>
      <w:lvlText w:val="•"/>
      <w:lvlJc w:val="left"/>
      <w:pPr>
        <w:ind w:left="4552" w:hanging="360"/>
      </w:pPr>
      <w:rPr>
        <w:rFonts w:hint="default"/>
        <w:lang w:val="fr-FR" w:eastAsia="en-US" w:bidi="ar-SA"/>
      </w:rPr>
    </w:lvl>
    <w:lvl w:ilvl="5" w:tplc="762E3D0A">
      <w:numFmt w:val="bullet"/>
      <w:lvlText w:val="•"/>
      <w:lvlJc w:val="left"/>
      <w:pPr>
        <w:ind w:left="5565" w:hanging="360"/>
      </w:pPr>
      <w:rPr>
        <w:rFonts w:hint="default"/>
        <w:lang w:val="fr-FR" w:eastAsia="en-US" w:bidi="ar-SA"/>
      </w:rPr>
    </w:lvl>
    <w:lvl w:ilvl="6" w:tplc="011026D4">
      <w:numFmt w:val="bullet"/>
      <w:lvlText w:val="•"/>
      <w:lvlJc w:val="left"/>
      <w:pPr>
        <w:ind w:left="6578" w:hanging="360"/>
      </w:pPr>
      <w:rPr>
        <w:rFonts w:hint="default"/>
        <w:lang w:val="fr-FR" w:eastAsia="en-US" w:bidi="ar-SA"/>
      </w:rPr>
    </w:lvl>
    <w:lvl w:ilvl="7" w:tplc="F3CED6E8">
      <w:numFmt w:val="bullet"/>
      <w:lvlText w:val="•"/>
      <w:lvlJc w:val="left"/>
      <w:pPr>
        <w:ind w:left="7591" w:hanging="360"/>
      </w:pPr>
      <w:rPr>
        <w:rFonts w:hint="default"/>
        <w:lang w:val="fr-FR" w:eastAsia="en-US" w:bidi="ar-SA"/>
      </w:rPr>
    </w:lvl>
    <w:lvl w:ilvl="8" w:tplc="42B477F0">
      <w:numFmt w:val="bullet"/>
      <w:lvlText w:val="•"/>
      <w:lvlJc w:val="left"/>
      <w:pPr>
        <w:ind w:left="860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B847D41"/>
    <w:multiLevelType w:val="hybridMultilevel"/>
    <w:tmpl w:val="05F28AA4"/>
    <w:lvl w:ilvl="0" w:tplc="2674A27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fr-FR" w:eastAsia="en-US" w:bidi="ar-SA"/>
      </w:rPr>
    </w:lvl>
    <w:lvl w:ilvl="1" w:tplc="8A0ECDB8">
      <w:numFmt w:val="bullet"/>
      <w:lvlText w:val="•"/>
      <w:lvlJc w:val="left"/>
      <w:pPr>
        <w:ind w:left="853" w:hanging="361"/>
      </w:pPr>
      <w:rPr>
        <w:rFonts w:hint="default"/>
        <w:lang w:val="fr-FR" w:eastAsia="en-US" w:bidi="ar-SA"/>
      </w:rPr>
    </w:lvl>
    <w:lvl w:ilvl="2" w:tplc="9DD0B60C">
      <w:numFmt w:val="bullet"/>
      <w:lvlText w:val="•"/>
      <w:lvlJc w:val="left"/>
      <w:pPr>
        <w:ind w:left="1286" w:hanging="361"/>
      </w:pPr>
      <w:rPr>
        <w:rFonts w:hint="default"/>
        <w:lang w:val="fr-FR" w:eastAsia="en-US" w:bidi="ar-SA"/>
      </w:rPr>
    </w:lvl>
    <w:lvl w:ilvl="3" w:tplc="7B9A5D72">
      <w:numFmt w:val="bullet"/>
      <w:lvlText w:val="•"/>
      <w:lvlJc w:val="left"/>
      <w:pPr>
        <w:ind w:left="1719" w:hanging="361"/>
      </w:pPr>
      <w:rPr>
        <w:rFonts w:hint="default"/>
        <w:lang w:val="fr-FR" w:eastAsia="en-US" w:bidi="ar-SA"/>
      </w:rPr>
    </w:lvl>
    <w:lvl w:ilvl="4" w:tplc="59046BFA">
      <w:numFmt w:val="bullet"/>
      <w:lvlText w:val="•"/>
      <w:lvlJc w:val="left"/>
      <w:pPr>
        <w:ind w:left="2152" w:hanging="361"/>
      </w:pPr>
      <w:rPr>
        <w:rFonts w:hint="default"/>
        <w:lang w:val="fr-FR" w:eastAsia="en-US" w:bidi="ar-SA"/>
      </w:rPr>
    </w:lvl>
    <w:lvl w:ilvl="5" w:tplc="EA36DB26">
      <w:numFmt w:val="bullet"/>
      <w:lvlText w:val="•"/>
      <w:lvlJc w:val="left"/>
      <w:pPr>
        <w:ind w:left="2585" w:hanging="361"/>
      </w:pPr>
      <w:rPr>
        <w:rFonts w:hint="default"/>
        <w:lang w:val="fr-FR" w:eastAsia="en-US" w:bidi="ar-SA"/>
      </w:rPr>
    </w:lvl>
    <w:lvl w:ilvl="6" w:tplc="BEECFC06">
      <w:numFmt w:val="bullet"/>
      <w:lvlText w:val="•"/>
      <w:lvlJc w:val="left"/>
      <w:pPr>
        <w:ind w:left="3018" w:hanging="361"/>
      </w:pPr>
      <w:rPr>
        <w:rFonts w:hint="default"/>
        <w:lang w:val="fr-FR" w:eastAsia="en-US" w:bidi="ar-SA"/>
      </w:rPr>
    </w:lvl>
    <w:lvl w:ilvl="7" w:tplc="02C48A3C">
      <w:numFmt w:val="bullet"/>
      <w:lvlText w:val="•"/>
      <w:lvlJc w:val="left"/>
      <w:pPr>
        <w:ind w:left="3451" w:hanging="361"/>
      </w:pPr>
      <w:rPr>
        <w:rFonts w:hint="default"/>
        <w:lang w:val="fr-FR" w:eastAsia="en-US" w:bidi="ar-SA"/>
      </w:rPr>
    </w:lvl>
    <w:lvl w:ilvl="8" w:tplc="9DA077E0">
      <w:numFmt w:val="bullet"/>
      <w:lvlText w:val="•"/>
      <w:lvlJc w:val="left"/>
      <w:pPr>
        <w:ind w:left="3884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469B66D8"/>
    <w:multiLevelType w:val="hybridMultilevel"/>
    <w:tmpl w:val="92B8394C"/>
    <w:lvl w:ilvl="0" w:tplc="6E1CAC46">
      <w:start w:val="1"/>
      <w:numFmt w:val="decimal"/>
      <w:lvlText w:val="%1-"/>
      <w:lvlJc w:val="left"/>
      <w:pPr>
        <w:ind w:left="50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8F89B80">
      <w:numFmt w:val="bullet"/>
      <w:lvlText w:val="•"/>
      <w:lvlJc w:val="left"/>
      <w:pPr>
        <w:ind w:left="1513" w:hanging="360"/>
      </w:pPr>
      <w:rPr>
        <w:rFonts w:hint="default"/>
        <w:lang w:val="fr-FR" w:eastAsia="en-US" w:bidi="ar-SA"/>
      </w:rPr>
    </w:lvl>
    <w:lvl w:ilvl="2" w:tplc="F3D84960">
      <w:numFmt w:val="bullet"/>
      <w:lvlText w:val="•"/>
      <w:lvlJc w:val="left"/>
      <w:pPr>
        <w:ind w:left="2526" w:hanging="360"/>
      </w:pPr>
      <w:rPr>
        <w:rFonts w:hint="default"/>
        <w:lang w:val="fr-FR" w:eastAsia="en-US" w:bidi="ar-SA"/>
      </w:rPr>
    </w:lvl>
    <w:lvl w:ilvl="3" w:tplc="806AF194">
      <w:numFmt w:val="bullet"/>
      <w:lvlText w:val="•"/>
      <w:lvlJc w:val="left"/>
      <w:pPr>
        <w:ind w:left="3539" w:hanging="360"/>
      </w:pPr>
      <w:rPr>
        <w:rFonts w:hint="default"/>
        <w:lang w:val="fr-FR" w:eastAsia="en-US" w:bidi="ar-SA"/>
      </w:rPr>
    </w:lvl>
    <w:lvl w:ilvl="4" w:tplc="6956A936">
      <w:numFmt w:val="bullet"/>
      <w:lvlText w:val="•"/>
      <w:lvlJc w:val="left"/>
      <w:pPr>
        <w:ind w:left="4552" w:hanging="360"/>
      </w:pPr>
      <w:rPr>
        <w:rFonts w:hint="default"/>
        <w:lang w:val="fr-FR" w:eastAsia="en-US" w:bidi="ar-SA"/>
      </w:rPr>
    </w:lvl>
    <w:lvl w:ilvl="5" w:tplc="2E54B7B8">
      <w:numFmt w:val="bullet"/>
      <w:lvlText w:val="•"/>
      <w:lvlJc w:val="left"/>
      <w:pPr>
        <w:ind w:left="5565" w:hanging="360"/>
      </w:pPr>
      <w:rPr>
        <w:rFonts w:hint="default"/>
        <w:lang w:val="fr-FR" w:eastAsia="en-US" w:bidi="ar-SA"/>
      </w:rPr>
    </w:lvl>
    <w:lvl w:ilvl="6" w:tplc="97FAB86E">
      <w:numFmt w:val="bullet"/>
      <w:lvlText w:val="•"/>
      <w:lvlJc w:val="left"/>
      <w:pPr>
        <w:ind w:left="6578" w:hanging="360"/>
      </w:pPr>
      <w:rPr>
        <w:rFonts w:hint="default"/>
        <w:lang w:val="fr-FR" w:eastAsia="en-US" w:bidi="ar-SA"/>
      </w:rPr>
    </w:lvl>
    <w:lvl w:ilvl="7" w:tplc="CA92FC12">
      <w:numFmt w:val="bullet"/>
      <w:lvlText w:val="•"/>
      <w:lvlJc w:val="left"/>
      <w:pPr>
        <w:ind w:left="7591" w:hanging="360"/>
      </w:pPr>
      <w:rPr>
        <w:rFonts w:hint="default"/>
        <w:lang w:val="fr-FR" w:eastAsia="en-US" w:bidi="ar-SA"/>
      </w:rPr>
    </w:lvl>
    <w:lvl w:ilvl="8" w:tplc="C14AB190">
      <w:numFmt w:val="bullet"/>
      <w:lvlText w:val="•"/>
      <w:lvlJc w:val="left"/>
      <w:pPr>
        <w:ind w:left="8604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47E84B4A"/>
    <w:multiLevelType w:val="hybridMultilevel"/>
    <w:tmpl w:val="4AD092A4"/>
    <w:lvl w:ilvl="0" w:tplc="2D24086A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fr-FR" w:eastAsia="en-US" w:bidi="ar-SA"/>
      </w:rPr>
    </w:lvl>
    <w:lvl w:ilvl="1" w:tplc="0CE87D60">
      <w:numFmt w:val="bullet"/>
      <w:lvlText w:val="•"/>
      <w:lvlJc w:val="left"/>
      <w:pPr>
        <w:ind w:left="853" w:hanging="361"/>
      </w:pPr>
      <w:rPr>
        <w:rFonts w:hint="default"/>
        <w:lang w:val="fr-FR" w:eastAsia="en-US" w:bidi="ar-SA"/>
      </w:rPr>
    </w:lvl>
    <w:lvl w:ilvl="2" w:tplc="59BE2654">
      <w:numFmt w:val="bullet"/>
      <w:lvlText w:val="•"/>
      <w:lvlJc w:val="left"/>
      <w:pPr>
        <w:ind w:left="1286" w:hanging="361"/>
      </w:pPr>
      <w:rPr>
        <w:rFonts w:hint="default"/>
        <w:lang w:val="fr-FR" w:eastAsia="en-US" w:bidi="ar-SA"/>
      </w:rPr>
    </w:lvl>
    <w:lvl w:ilvl="3" w:tplc="DEA8899C">
      <w:numFmt w:val="bullet"/>
      <w:lvlText w:val="•"/>
      <w:lvlJc w:val="left"/>
      <w:pPr>
        <w:ind w:left="1719" w:hanging="361"/>
      </w:pPr>
      <w:rPr>
        <w:rFonts w:hint="default"/>
        <w:lang w:val="fr-FR" w:eastAsia="en-US" w:bidi="ar-SA"/>
      </w:rPr>
    </w:lvl>
    <w:lvl w:ilvl="4" w:tplc="8DFA451C">
      <w:numFmt w:val="bullet"/>
      <w:lvlText w:val="•"/>
      <w:lvlJc w:val="left"/>
      <w:pPr>
        <w:ind w:left="2152" w:hanging="361"/>
      </w:pPr>
      <w:rPr>
        <w:rFonts w:hint="default"/>
        <w:lang w:val="fr-FR" w:eastAsia="en-US" w:bidi="ar-SA"/>
      </w:rPr>
    </w:lvl>
    <w:lvl w:ilvl="5" w:tplc="9DC2A90A">
      <w:numFmt w:val="bullet"/>
      <w:lvlText w:val="•"/>
      <w:lvlJc w:val="left"/>
      <w:pPr>
        <w:ind w:left="2585" w:hanging="361"/>
      </w:pPr>
      <w:rPr>
        <w:rFonts w:hint="default"/>
        <w:lang w:val="fr-FR" w:eastAsia="en-US" w:bidi="ar-SA"/>
      </w:rPr>
    </w:lvl>
    <w:lvl w:ilvl="6" w:tplc="7A6A962C">
      <w:numFmt w:val="bullet"/>
      <w:lvlText w:val="•"/>
      <w:lvlJc w:val="left"/>
      <w:pPr>
        <w:ind w:left="3018" w:hanging="361"/>
      </w:pPr>
      <w:rPr>
        <w:rFonts w:hint="default"/>
        <w:lang w:val="fr-FR" w:eastAsia="en-US" w:bidi="ar-SA"/>
      </w:rPr>
    </w:lvl>
    <w:lvl w:ilvl="7" w:tplc="A1DE3D6C">
      <w:numFmt w:val="bullet"/>
      <w:lvlText w:val="•"/>
      <w:lvlJc w:val="left"/>
      <w:pPr>
        <w:ind w:left="3451" w:hanging="361"/>
      </w:pPr>
      <w:rPr>
        <w:rFonts w:hint="default"/>
        <w:lang w:val="fr-FR" w:eastAsia="en-US" w:bidi="ar-SA"/>
      </w:rPr>
    </w:lvl>
    <w:lvl w:ilvl="8" w:tplc="E4040DBE">
      <w:numFmt w:val="bullet"/>
      <w:lvlText w:val="•"/>
      <w:lvlJc w:val="left"/>
      <w:pPr>
        <w:ind w:left="3884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59ED1854"/>
    <w:multiLevelType w:val="hybridMultilevel"/>
    <w:tmpl w:val="E9CA71C4"/>
    <w:lvl w:ilvl="0" w:tplc="D402DC52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fr-FR" w:eastAsia="en-US" w:bidi="ar-SA"/>
      </w:rPr>
    </w:lvl>
    <w:lvl w:ilvl="1" w:tplc="B1800662">
      <w:numFmt w:val="bullet"/>
      <w:lvlText w:val="•"/>
      <w:lvlJc w:val="left"/>
      <w:pPr>
        <w:ind w:left="949" w:hanging="360"/>
      </w:pPr>
      <w:rPr>
        <w:rFonts w:hint="default"/>
        <w:lang w:val="fr-FR" w:eastAsia="en-US" w:bidi="ar-SA"/>
      </w:rPr>
    </w:lvl>
    <w:lvl w:ilvl="2" w:tplc="53F680C0">
      <w:numFmt w:val="bullet"/>
      <w:lvlText w:val="•"/>
      <w:lvlJc w:val="left"/>
      <w:pPr>
        <w:ind w:left="1299" w:hanging="360"/>
      </w:pPr>
      <w:rPr>
        <w:rFonts w:hint="default"/>
        <w:lang w:val="fr-FR" w:eastAsia="en-US" w:bidi="ar-SA"/>
      </w:rPr>
    </w:lvl>
    <w:lvl w:ilvl="3" w:tplc="A984DF7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4" w:tplc="CAF0FA08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5" w:tplc="888606CA">
      <w:numFmt w:val="bullet"/>
      <w:lvlText w:val="•"/>
      <w:lvlJc w:val="left"/>
      <w:pPr>
        <w:ind w:left="2348" w:hanging="360"/>
      </w:pPr>
      <w:rPr>
        <w:rFonts w:hint="default"/>
        <w:lang w:val="fr-FR" w:eastAsia="en-US" w:bidi="ar-SA"/>
      </w:rPr>
    </w:lvl>
    <w:lvl w:ilvl="6" w:tplc="D19CD6D0">
      <w:numFmt w:val="bullet"/>
      <w:lvlText w:val="•"/>
      <w:lvlJc w:val="left"/>
      <w:pPr>
        <w:ind w:left="2698" w:hanging="360"/>
      </w:pPr>
      <w:rPr>
        <w:rFonts w:hint="default"/>
        <w:lang w:val="fr-FR" w:eastAsia="en-US" w:bidi="ar-SA"/>
      </w:rPr>
    </w:lvl>
    <w:lvl w:ilvl="7" w:tplc="9ED83F6E">
      <w:numFmt w:val="bullet"/>
      <w:lvlText w:val="•"/>
      <w:lvlJc w:val="left"/>
      <w:pPr>
        <w:ind w:left="3047" w:hanging="360"/>
      </w:pPr>
      <w:rPr>
        <w:rFonts w:hint="default"/>
        <w:lang w:val="fr-FR" w:eastAsia="en-US" w:bidi="ar-SA"/>
      </w:rPr>
    </w:lvl>
    <w:lvl w:ilvl="8" w:tplc="DEC84A44">
      <w:numFmt w:val="bullet"/>
      <w:lvlText w:val="•"/>
      <w:lvlJc w:val="left"/>
      <w:pPr>
        <w:ind w:left="3397" w:hanging="36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4B"/>
    <w:rsid w:val="00097C2C"/>
    <w:rsid w:val="002615C2"/>
    <w:rsid w:val="006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5A16"/>
  <w15:docId w15:val="{BDD8ABB0-78AD-452E-A646-60F19866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178"/>
      <w:ind w:left="142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2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19"/>
      <w:ind w:left="2148" w:right="278" w:hanging="985"/>
    </w:pPr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spacing w:before="2"/>
      <w:ind w:left="502" w:hanging="360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41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nzahid</dc:creator>
  <cp:lastModifiedBy>adil bami</cp:lastModifiedBy>
  <cp:revision>4</cp:revision>
  <dcterms:created xsi:type="dcterms:W3CDTF">2025-10-29T14:41:00Z</dcterms:created>
  <dcterms:modified xsi:type="dcterms:W3CDTF">2025-12-15T08:29:00Z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