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40" w:rsidRPr="00166E40" w:rsidRDefault="008C2F40" w:rsidP="008C2F40">
      <w:pPr>
        <w:pStyle w:val="Titre1"/>
        <w:shd w:val="clear" w:color="auto" w:fill="FFFFFF"/>
        <w:spacing w:before="0" w:beforeAutospacing="0" w:after="312" w:afterAutospacing="0"/>
        <w:textAlignment w:val="baseline"/>
        <w:rPr>
          <w:rFonts w:ascii="montserratbold" w:hAnsi="montserratbold"/>
          <w:sz w:val="44"/>
          <w:szCs w:val="44"/>
        </w:rPr>
      </w:pPr>
      <w:r w:rsidRPr="00166E40">
        <w:rPr>
          <w:rFonts w:ascii="montserratbold" w:hAnsi="montserratbold"/>
          <w:sz w:val="44"/>
          <w:szCs w:val="44"/>
        </w:rPr>
        <w:t>Double diplôme, double chance</w:t>
      </w:r>
    </w:p>
    <w:p w:rsidR="004D06A6" w:rsidRDefault="004D06A6" w:rsidP="00876498">
      <w:pPr>
        <w:pStyle w:val="Titre2"/>
        <w:spacing w:before="0" w:line="240" w:lineRule="auto"/>
        <w:ind w:left="0" w:firstLine="0"/>
        <w:jc w:val="both"/>
        <w:textAlignment w:val="baseline"/>
        <w:rPr>
          <w:rFonts w:ascii="montserratbold" w:hAnsi="montserratbold"/>
          <w:color w:val="C1002A"/>
          <w:sz w:val="29"/>
          <w:szCs w:val="28"/>
        </w:rPr>
      </w:pPr>
    </w:p>
    <w:p w:rsidR="004D06A6" w:rsidRPr="004D06A6" w:rsidRDefault="004D06A6" w:rsidP="004D06A6"/>
    <w:p w:rsidR="00876498" w:rsidRDefault="00C2338B" w:rsidP="00353959">
      <w:pPr>
        <w:pStyle w:val="Titre2"/>
        <w:spacing w:before="0" w:line="240" w:lineRule="auto"/>
        <w:ind w:left="0" w:firstLine="0"/>
        <w:jc w:val="both"/>
        <w:textAlignment w:val="baseline"/>
        <w:rPr>
          <w:rFonts w:ascii="montserratbold" w:hAnsi="montserratbold"/>
          <w:color w:val="C1002A"/>
          <w:sz w:val="31"/>
          <w:szCs w:val="32"/>
        </w:rPr>
      </w:pPr>
      <w:r w:rsidRPr="004D06A6">
        <w:rPr>
          <w:rFonts w:ascii="montserratbold" w:hAnsi="montserratbold"/>
          <w:color w:val="C1002A"/>
          <w:sz w:val="31"/>
          <w:szCs w:val="32"/>
        </w:rPr>
        <w:t>Se présenter aux deux examens</w:t>
      </w:r>
      <w:r w:rsidR="00876498" w:rsidRPr="004D06A6">
        <w:rPr>
          <w:rFonts w:ascii="montserratbold" w:hAnsi="montserratbold"/>
          <w:color w:val="C1002A"/>
          <w:sz w:val="31"/>
          <w:szCs w:val="32"/>
        </w:rPr>
        <w:t xml:space="preserve"> </w:t>
      </w:r>
    </w:p>
    <w:p w:rsidR="00353959" w:rsidRPr="00353959" w:rsidRDefault="00353959" w:rsidP="00353959">
      <w:pPr>
        <w:spacing w:line="240" w:lineRule="auto"/>
        <w:rPr>
          <w:sz w:val="2"/>
          <w:szCs w:val="2"/>
        </w:rPr>
      </w:pPr>
    </w:p>
    <w:p w:rsidR="00C2338B" w:rsidRPr="004D06A6" w:rsidRDefault="00C2338B" w:rsidP="00353959">
      <w:pPr>
        <w:pStyle w:val="Titre2"/>
        <w:spacing w:before="0" w:line="240" w:lineRule="auto"/>
        <w:ind w:left="0" w:firstLine="0"/>
        <w:jc w:val="both"/>
        <w:textAlignment w:val="baseline"/>
        <w:rPr>
          <w:rFonts w:ascii="inherit" w:hAnsi="inherit"/>
          <w:b w:val="0"/>
          <w:bCs w:val="0"/>
          <w:color w:val="C1002A"/>
          <w:sz w:val="22"/>
          <w:szCs w:val="22"/>
        </w:rPr>
      </w:pPr>
      <w:r w:rsidRPr="004D06A6">
        <w:rPr>
          <w:rFonts w:ascii="inherit" w:hAnsi="inherit"/>
          <w:b w:val="0"/>
          <w:bCs w:val="0"/>
          <w:color w:val="333333"/>
          <w:sz w:val="22"/>
          <w:szCs w:val="22"/>
        </w:rPr>
        <w:t>La </w:t>
      </w:r>
      <w:r w:rsidRPr="004D06A6">
        <w:rPr>
          <w:rStyle w:val="lev"/>
          <w:rFonts w:ascii="inherit" w:hAnsi="inherit"/>
          <w:color w:val="333333"/>
          <w:sz w:val="22"/>
          <w:szCs w:val="22"/>
          <w:bdr w:val="none" w:sz="0" w:space="0" w:color="auto" w:frame="1"/>
        </w:rPr>
        <w:t>double chance</w:t>
      </w:r>
      <w:r w:rsidRPr="004D06A6">
        <w:rPr>
          <w:rFonts w:ascii="inherit" w:hAnsi="inherit"/>
          <w:b w:val="0"/>
          <w:bCs w:val="0"/>
          <w:color w:val="333333"/>
          <w:sz w:val="22"/>
          <w:szCs w:val="22"/>
        </w:rPr>
        <w:t> de l'</w:t>
      </w:r>
      <w:proofErr w:type="spellStart"/>
      <w:r w:rsidRPr="004D06A6">
        <w:rPr>
          <w:rFonts w:ascii="inherit" w:hAnsi="inherit"/>
          <w:b w:val="0"/>
          <w:bCs w:val="0"/>
          <w:color w:val="333333"/>
          <w:sz w:val="22"/>
          <w:szCs w:val="22"/>
        </w:rPr>
        <w:t>Intec</w:t>
      </w:r>
      <w:proofErr w:type="spellEnd"/>
      <w:r w:rsidRPr="004D06A6">
        <w:rPr>
          <w:rFonts w:ascii="inherit" w:hAnsi="inherit"/>
          <w:b w:val="0"/>
          <w:bCs w:val="0"/>
          <w:color w:val="333333"/>
          <w:sz w:val="22"/>
          <w:szCs w:val="22"/>
        </w:rPr>
        <w:t xml:space="preserve"> c'est une formation permettant de se présenter aux </w:t>
      </w:r>
      <w:r w:rsidRPr="004D06A6">
        <w:rPr>
          <w:rStyle w:val="lev"/>
          <w:rFonts w:ascii="inherit" w:hAnsi="inherit"/>
          <w:color w:val="333333"/>
          <w:sz w:val="22"/>
          <w:szCs w:val="22"/>
          <w:bdr w:val="none" w:sz="0" w:space="0" w:color="auto" w:frame="1"/>
        </w:rPr>
        <w:t xml:space="preserve">examens de </w:t>
      </w:r>
      <w:r w:rsidRPr="004D06A6">
        <w:rPr>
          <w:rStyle w:val="lev"/>
          <w:rFonts w:ascii="inherit" w:hAnsi="inherit"/>
          <w:color w:val="auto"/>
          <w:sz w:val="22"/>
          <w:szCs w:val="22"/>
          <w:bdr w:val="none" w:sz="0" w:space="0" w:color="auto" w:frame="1"/>
        </w:rPr>
        <w:t>l'État </w:t>
      </w:r>
      <w:r w:rsidRPr="004D06A6">
        <w:rPr>
          <w:rFonts w:ascii="inherit" w:hAnsi="inherit"/>
          <w:color w:val="FF0000"/>
          <w:sz w:val="22"/>
          <w:szCs w:val="22"/>
        </w:rPr>
        <w:t>(</w:t>
      </w:r>
      <w:hyperlink r:id="rId5" w:history="1">
        <w:r w:rsidRPr="004D06A6">
          <w:rPr>
            <w:rStyle w:val="Lienhypertexte"/>
            <w:rFonts w:ascii="inherit" w:hAnsi="inherit"/>
            <w:color w:val="FF0000"/>
            <w:sz w:val="22"/>
            <w:szCs w:val="22"/>
            <w:u w:val="none"/>
            <w:bdr w:val="none" w:sz="0" w:space="0" w:color="auto" w:frame="1"/>
          </w:rPr>
          <w:t>DCG</w:t>
        </w:r>
      </w:hyperlink>
      <w:r w:rsidRPr="004D06A6">
        <w:rPr>
          <w:rFonts w:ascii="inherit" w:hAnsi="inherit"/>
          <w:color w:val="FF0000"/>
          <w:sz w:val="22"/>
          <w:szCs w:val="22"/>
        </w:rPr>
        <w:t>, </w:t>
      </w:r>
      <w:hyperlink r:id="rId6" w:history="1">
        <w:r w:rsidRPr="004D06A6">
          <w:rPr>
            <w:rStyle w:val="Lienhypertexte"/>
            <w:rFonts w:ascii="inherit" w:hAnsi="inherit"/>
            <w:color w:val="FF0000"/>
            <w:sz w:val="22"/>
            <w:szCs w:val="22"/>
            <w:u w:val="none"/>
            <w:bdr w:val="none" w:sz="0" w:space="0" w:color="auto" w:frame="1"/>
          </w:rPr>
          <w:t>DSCG</w:t>
        </w:r>
      </w:hyperlink>
      <w:r w:rsidRPr="004D06A6">
        <w:rPr>
          <w:rFonts w:ascii="inherit" w:hAnsi="inherit"/>
          <w:color w:val="FF0000"/>
          <w:sz w:val="22"/>
          <w:szCs w:val="22"/>
        </w:rPr>
        <w:t>)</w:t>
      </w:r>
      <w:r w:rsidRPr="004D06A6">
        <w:rPr>
          <w:rFonts w:ascii="inherit" w:hAnsi="inherit"/>
          <w:color w:val="333333"/>
          <w:sz w:val="22"/>
          <w:szCs w:val="22"/>
        </w:rPr>
        <w:t> </w:t>
      </w:r>
      <w:r w:rsidRPr="004D06A6">
        <w:rPr>
          <w:rStyle w:val="lev"/>
          <w:rFonts w:ascii="inherit" w:hAnsi="inherit"/>
          <w:color w:val="333333"/>
          <w:sz w:val="22"/>
          <w:szCs w:val="22"/>
          <w:bdr w:val="none" w:sz="0" w:space="0" w:color="auto" w:frame="1"/>
        </w:rPr>
        <w:t>ET aux examens de l’</w:t>
      </w:r>
      <w:proofErr w:type="spellStart"/>
      <w:r w:rsidRPr="004D06A6">
        <w:rPr>
          <w:rStyle w:val="lev"/>
          <w:rFonts w:ascii="inherit" w:hAnsi="inherit"/>
          <w:color w:val="333333"/>
          <w:sz w:val="22"/>
          <w:szCs w:val="22"/>
          <w:bdr w:val="none" w:sz="0" w:space="0" w:color="auto" w:frame="1"/>
        </w:rPr>
        <w:t>Intec</w:t>
      </w:r>
      <w:proofErr w:type="spellEnd"/>
      <w:r w:rsidRPr="004D06A6">
        <w:rPr>
          <w:rFonts w:ascii="inherit" w:hAnsi="inherit"/>
          <w:b w:val="0"/>
          <w:bCs w:val="0"/>
          <w:color w:val="333333"/>
          <w:sz w:val="22"/>
          <w:szCs w:val="22"/>
        </w:rPr>
        <w:t> </w:t>
      </w:r>
      <w:r w:rsidRPr="004D06A6">
        <w:rPr>
          <w:rFonts w:ascii="inherit" w:hAnsi="inherit"/>
          <w:color w:val="FF0000"/>
          <w:sz w:val="22"/>
          <w:szCs w:val="22"/>
        </w:rPr>
        <w:t>(</w:t>
      </w:r>
      <w:hyperlink r:id="rId7" w:history="1">
        <w:r w:rsidRPr="004D06A6">
          <w:rPr>
            <w:rStyle w:val="Lienhypertexte"/>
            <w:rFonts w:ascii="inherit" w:hAnsi="inherit"/>
            <w:color w:val="FF0000"/>
            <w:sz w:val="22"/>
            <w:szCs w:val="22"/>
            <w:u w:val="none"/>
            <w:bdr w:val="none" w:sz="0" w:space="0" w:color="auto" w:frame="1"/>
          </w:rPr>
          <w:t>DGC</w:t>
        </w:r>
      </w:hyperlink>
      <w:r w:rsidRPr="004D06A6">
        <w:rPr>
          <w:rFonts w:ascii="inherit" w:hAnsi="inherit"/>
          <w:color w:val="FF0000"/>
          <w:sz w:val="22"/>
          <w:szCs w:val="22"/>
        </w:rPr>
        <w:t>, </w:t>
      </w:r>
      <w:hyperlink r:id="rId8" w:history="1">
        <w:r w:rsidRPr="004D06A6">
          <w:rPr>
            <w:rStyle w:val="Lienhypertexte"/>
            <w:rFonts w:ascii="inherit" w:hAnsi="inherit"/>
            <w:color w:val="FF0000"/>
            <w:sz w:val="22"/>
            <w:szCs w:val="22"/>
            <w:u w:val="none"/>
            <w:bdr w:val="none" w:sz="0" w:space="0" w:color="auto" w:frame="1"/>
          </w:rPr>
          <w:t>DSGC</w:t>
        </w:r>
      </w:hyperlink>
      <w:r w:rsidRPr="004D06A6">
        <w:rPr>
          <w:rFonts w:ascii="inherit" w:hAnsi="inherit"/>
          <w:color w:val="FF0000"/>
          <w:sz w:val="22"/>
          <w:szCs w:val="22"/>
        </w:rPr>
        <w:t>)</w:t>
      </w:r>
      <w:r w:rsidRPr="004D06A6">
        <w:rPr>
          <w:rFonts w:ascii="inherit" w:hAnsi="inherit"/>
          <w:b w:val="0"/>
          <w:bCs w:val="0"/>
          <w:color w:val="333333"/>
          <w:sz w:val="22"/>
          <w:szCs w:val="22"/>
        </w:rPr>
        <w:t>.</w:t>
      </w:r>
    </w:p>
    <w:p w:rsidR="00C2338B" w:rsidRDefault="00C2338B" w:rsidP="00C2338B">
      <w:pPr>
        <w:spacing w:line="240" w:lineRule="auto"/>
        <w:ind w:left="0" w:firstLine="0"/>
        <w:jc w:val="both"/>
        <w:textAlignment w:val="baseline"/>
        <w:rPr>
          <w:rFonts w:ascii="inherit" w:hAnsi="inherit"/>
          <w:color w:val="333333"/>
        </w:rPr>
      </w:pPr>
      <w:r w:rsidRPr="004D06A6">
        <w:rPr>
          <w:rFonts w:ascii="inherit" w:hAnsi="inherit"/>
          <w:color w:val="333333"/>
        </w:rPr>
        <w:t>Pour délivrer son diplôme, l'</w:t>
      </w:r>
      <w:proofErr w:type="spellStart"/>
      <w:r w:rsidRPr="004D06A6">
        <w:rPr>
          <w:rFonts w:ascii="inherit" w:hAnsi="inherit"/>
          <w:color w:val="333333"/>
        </w:rPr>
        <w:t>Intec</w:t>
      </w:r>
      <w:proofErr w:type="spellEnd"/>
      <w:r w:rsidRPr="004D06A6">
        <w:rPr>
          <w:rFonts w:ascii="inherit" w:hAnsi="inherit"/>
          <w:color w:val="333333"/>
        </w:rPr>
        <w:t xml:space="preserve"> prend, pour chaque unité d'enseignement (UE), </w:t>
      </w:r>
      <w:r w:rsidRPr="004D06A6">
        <w:rPr>
          <w:rStyle w:val="lev"/>
          <w:rFonts w:ascii="inherit" w:hAnsi="inherit"/>
          <w:b w:val="0"/>
          <w:bCs w:val="0"/>
          <w:color w:val="333333"/>
          <w:bdr w:val="none" w:sz="0" w:space="0" w:color="auto" w:frame="1"/>
        </w:rPr>
        <w:t>la meilleure des deux notes </w:t>
      </w:r>
      <w:r w:rsidRPr="004D06A6">
        <w:rPr>
          <w:rFonts w:ascii="inherit" w:hAnsi="inherit"/>
          <w:color w:val="333333"/>
        </w:rPr>
        <w:t>obtenues à l'</w:t>
      </w:r>
      <w:proofErr w:type="spellStart"/>
      <w:r w:rsidRPr="004D06A6">
        <w:rPr>
          <w:rFonts w:ascii="inherit" w:hAnsi="inherit"/>
          <w:color w:val="333333"/>
        </w:rPr>
        <w:t>Intec</w:t>
      </w:r>
      <w:proofErr w:type="spellEnd"/>
      <w:r w:rsidRPr="004D06A6">
        <w:rPr>
          <w:rFonts w:ascii="inherit" w:hAnsi="inherit"/>
          <w:color w:val="333333"/>
        </w:rPr>
        <w:t xml:space="preserve"> ou à l'État.</w:t>
      </w:r>
    </w:p>
    <w:p w:rsidR="002C49CE" w:rsidRPr="004D06A6" w:rsidRDefault="002C49CE" w:rsidP="00C2338B">
      <w:pPr>
        <w:spacing w:line="240" w:lineRule="auto"/>
        <w:ind w:left="0" w:firstLine="0"/>
        <w:jc w:val="both"/>
        <w:textAlignment w:val="baseline"/>
        <w:rPr>
          <w:rFonts w:ascii="inherit" w:hAnsi="inherit"/>
          <w:color w:val="333333"/>
        </w:rPr>
      </w:pPr>
    </w:p>
    <w:p w:rsidR="004D06A6" w:rsidRPr="004D06A6" w:rsidRDefault="004D06A6" w:rsidP="004D06A6">
      <w:pPr>
        <w:pStyle w:val="Titre2"/>
        <w:spacing w:before="0" w:line="240" w:lineRule="auto"/>
        <w:ind w:left="0" w:firstLine="0"/>
        <w:jc w:val="both"/>
        <w:textAlignment w:val="baseline"/>
        <w:rPr>
          <w:rFonts w:ascii="montserratbold" w:hAnsi="montserratbold"/>
          <w:color w:val="C1002A"/>
          <w:sz w:val="31"/>
          <w:szCs w:val="32"/>
        </w:rPr>
      </w:pPr>
      <w:r w:rsidRPr="004D06A6">
        <w:rPr>
          <w:rFonts w:ascii="montserratbold" w:hAnsi="montserratbold"/>
          <w:color w:val="C1002A"/>
          <w:sz w:val="31"/>
          <w:szCs w:val="32"/>
        </w:rPr>
        <w:t xml:space="preserve">Valider toutes les unités d'enseignement du DCG et du DSCG  </w:t>
      </w:r>
    </w:p>
    <w:p w:rsidR="004D06A6" w:rsidRPr="00353959" w:rsidRDefault="004D06A6" w:rsidP="004D06A6">
      <w:pPr>
        <w:pStyle w:val="Titre2"/>
        <w:spacing w:before="0" w:line="240" w:lineRule="auto"/>
        <w:ind w:left="0" w:firstLine="0"/>
        <w:jc w:val="both"/>
        <w:textAlignment w:val="baseline"/>
        <w:rPr>
          <w:rFonts w:ascii="montserratbold" w:hAnsi="montserratbold"/>
          <w:color w:val="C1002A"/>
          <w:sz w:val="15"/>
          <w:szCs w:val="12"/>
        </w:rPr>
      </w:pPr>
      <w:r w:rsidRPr="00876498">
        <w:rPr>
          <w:rFonts w:ascii="montserratbold" w:hAnsi="montserratbold"/>
          <w:color w:val="C1002A"/>
          <w:sz w:val="29"/>
          <w:szCs w:val="28"/>
        </w:rPr>
        <w:t xml:space="preserve">   </w:t>
      </w:r>
      <w:r>
        <w:rPr>
          <w:rFonts w:ascii="montserratbold" w:hAnsi="montserratbold"/>
          <w:color w:val="C1002A"/>
          <w:sz w:val="29"/>
          <w:szCs w:val="28"/>
        </w:rPr>
        <w:t xml:space="preserve">        </w:t>
      </w:r>
      <w:r w:rsidRPr="00876498">
        <w:rPr>
          <w:rFonts w:ascii="montserratbold" w:hAnsi="montserratbold"/>
          <w:color w:val="C1002A"/>
          <w:sz w:val="29"/>
          <w:szCs w:val="28"/>
        </w:rPr>
        <w:t xml:space="preserve">    </w:t>
      </w:r>
    </w:p>
    <w:p w:rsidR="004D06A6" w:rsidRPr="004D06A6" w:rsidRDefault="00C2338B" w:rsidP="004D06A6">
      <w:pPr>
        <w:pStyle w:val="Titre2"/>
        <w:numPr>
          <w:ilvl w:val="0"/>
          <w:numId w:val="10"/>
        </w:numPr>
        <w:spacing w:before="0" w:after="100" w:afterAutospacing="1" w:line="240" w:lineRule="auto"/>
        <w:ind w:left="284" w:hanging="284"/>
        <w:jc w:val="both"/>
        <w:textAlignment w:val="baseline"/>
        <w:rPr>
          <w:rFonts w:ascii="inherit" w:hAnsi="inherit"/>
          <w:color w:val="333333"/>
          <w:sz w:val="22"/>
          <w:szCs w:val="22"/>
        </w:rPr>
      </w:pPr>
      <w:r w:rsidRPr="004D06A6">
        <w:rPr>
          <w:rFonts w:ascii="inherit" w:hAnsi="inherit"/>
          <w:color w:val="333333"/>
          <w:sz w:val="22"/>
          <w:szCs w:val="22"/>
        </w:rPr>
        <w:t>Le DGC de l'</w:t>
      </w:r>
      <w:proofErr w:type="spellStart"/>
      <w:r w:rsidRPr="004D06A6">
        <w:rPr>
          <w:rFonts w:ascii="inherit" w:hAnsi="inherit"/>
          <w:color w:val="333333"/>
          <w:sz w:val="22"/>
          <w:szCs w:val="22"/>
        </w:rPr>
        <w:t>Intec</w:t>
      </w:r>
      <w:proofErr w:type="spellEnd"/>
      <w:r w:rsidRPr="004D06A6">
        <w:rPr>
          <w:rFonts w:ascii="inherit" w:hAnsi="inherit"/>
          <w:color w:val="333333"/>
          <w:sz w:val="22"/>
          <w:szCs w:val="22"/>
        </w:rPr>
        <w:t xml:space="preserve"> dispense de </w:t>
      </w:r>
      <w:r w:rsidRPr="004D06A6">
        <w:rPr>
          <w:rStyle w:val="lev"/>
          <w:rFonts w:ascii="inherit" w:hAnsi="inherit"/>
          <w:color w:val="333333"/>
          <w:sz w:val="22"/>
          <w:szCs w:val="22"/>
          <w:bdr w:val="none" w:sz="0" w:space="0" w:color="auto" w:frame="1"/>
        </w:rPr>
        <w:t>toutes les UE du DCG</w:t>
      </w:r>
      <w:r w:rsidRPr="004D06A6">
        <w:rPr>
          <w:rFonts w:ascii="inherit" w:hAnsi="inherit"/>
          <w:color w:val="333333"/>
          <w:sz w:val="22"/>
          <w:szCs w:val="22"/>
        </w:rPr>
        <w:t>, et donc donne accès au </w:t>
      </w:r>
      <w:r w:rsidRPr="004D06A6">
        <w:rPr>
          <w:rStyle w:val="lev"/>
          <w:rFonts w:ascii="inherit" w:hAnsi="inherit"/>
          <w:color w:val="333333"/>
          <w:sz w:val="22"/>
          <w:szCs w:val="22"/>
          <w:bdr w:val="none" w:sz="0" w:space="0" w:color="auto" w:frame="1"/>
        </w:rPr>
        <w:t>DSCG</w:t>
      </w:r>
      <w:r w:rsidRPr="004D06A6">
        <w:rPr>
          <w:rFonts w:ascii="inherit" w:hAnsi="inherit"/>
          <w:color w:val="333333"/>
          <w:sz w:val="22"/>
          <w:szCs w:val="22"/>
        </w:rPr>
        <w:t>.</w:t>
      </w:r>
      <w:r w:rsidR="00876498" w:rsidRPr="004D06A6">
        <w:rPr>
          <w:rFonts w:ascii="inherit" w:hAnsi="inherit"/>
          <w:color w:val="333333"/>
          <w:sz w:val="22"/>
          <w:szCs w:val="22"/>
        </w:rPr>
        <w:t xml:space="preserve">                     </w:t>
      </w:r>
    </w:p>
    <w:p w:rsidR="00C2338B" w:rsidRPr="004D06A6" w:rsidRDefault="00C2338B" w:rsidP="004D06A6">
      <w:pPr>
        <w:pStyle w:val="Titre2"/>
        <w:numPr>
          <w:ilvl w:val="0"/>
          <w:numId w:val="10"/>
        </w:numPr>
        <w:spacing w:before="0" w:after="100" w:afterAutospacing="1" w:line="240" w:lineRule="auto"/>
        <w:ind w:left="284" w:hanging="284"/>
        <w:jc w:val="both"/>
        <w:textAlignment w:val="baseline"/>
        <w:rPr>
          <w:rFonts w:ascii="inherit" w:hAnsi="inherit"/>
          <w:color w:val="333333"/>
          <w:sz w:val="22"/>
          <w:szCs w:val="22"/>
        </w:rPr>
      </w:pPr>
      <w:r w:rsidRPr="004D06A6">
        <w:rPr>
          <w:rFonts w:ascii="inherit" w:hAnsi="inherit"/>
          <w:color w:val="333333"/>
          <w:sz w:val="22"/>
          <w:szCs w:val="22"/>
        </w:rPr>
        <w:t>Le DSGC de l'</w:t>
      </w:r>
      <w:proofErr w:type="spellStart"/>
      <w:r w:rsidRPr="004D06A6">
        <w:rPr>
          <w:rFonts w:ascii="inherit" w:hAnsi="inherit"/>
          <w:color w:val="333333"/>
          <w:sz w:val="22"/>
          <w:szCs w:val="22"/>
        </w:rPr>
        <w:t>Intec</w:t>
      </w:r>
      <w:proofErr w:type="spellEnd"/>
      <w:r w:rsidRPr="004D06A6">
        <w:rPr>
          <w:rFonts w:ascii="inherit" w:hAnsi="inherit"/>
          <w:color w:val="333333"/>
          <w:sz w:val="22"/>
          <w:szCs w:val="22"/>
        </w:rPr>
        <w:t> </w:t>
      </w:r>
      <w:r w:rsidRPr="004D06A6">
        <w:rPr>
          <w:rStyle w:val="lev"/>
          <w:rFonts w:ascii="inherit" w:hAnsi="inherit"/>
          <w:color w:val="333333"/>
          <w:sz w:val="22"/>
          <w:szCs w:val="22"/>
          <w:bdr w:val="none" w:sz="0" w:space="0" w:color="auto" w:frame="1"/>
        </w:rPr>
        <w:t>dispense de 5 UE</w:t>
      </w:r>
      <w:r w:rsidRPr="004D06A6">
        <w:rPr>
          <w:rFonts w:ascii="inherit" w:hAnsi="inherit"/>
          <w:color w:val="333333"/>
          <w:sz w:val="22"/>
          <w:szCs w:val="22"/>
        </w:rPr>
        <w:t> (sur 7) du DSCG ; il reste à obtenir à l'État les UE 1 (</w:t>
      </w:r>
      <w:hyperlink r:id="rId9" w:history="1">
        <w:r w:rsidRPr="004D06A6">
          <w:rPr>
            <w:rStyle w:val="Lienhypertexte"/>
            <w:rFonts w:ascii="inherit" w:hAnsi="inherit"/>
            <w:color w:val="8E001F"/>
            <w:sz w:val="22"/>
            <w:szCs w:val="22"/>
            <w:u w:val="none"/>
            <w:bdr w:val="none" w:sz="0" w:space="0" w:color="auto" w:frame="1"/>
          </w:rPr>
          <w:t>Gestion juridique, fiscale et sociale</w:t>
        </w:r>
      </w:hyperlink>
      <w:r w:rsidRPr="004D06A6">
        <w:rPr>
          <w:rFonts w:ascii="inherit" w:hAnsi="inherit"/>
          <w:color w:val="333333"/>
          <w:sz w:val="22"/>
          <w:szCs w:val="22"/>
        </w:rPr>
        <w:t>) et 4 (</w:t>
      </w:r>
      <w:proofErr w:type="spellStart"/>
      <w:r w:rsidR="00862D46" w:rsidRPr="004D06A6">
        <w:rPr>
          <w:rFonts w:ascii="inherit" w:hAnsi="inherit"/>
          <w:color w:val="333333"/>
          <w:sz w:val="22"/>
          <w:szCs w:val="22"/>
        </w:rPr>
        <w:fldChar w:fldCharType="begin"/>
      </w:r>
      <w:r w:rsidRPr="004D06A6">
        <w:rPr>
          <w:rFonts w:ascii="inherit" w:hAnsi="inherit"/>
          <w:color w:val="333333"/>
          <w:sz w:val="22"/>
          <w:szCs w:val="22"/>
        </w:rPr>
        <w:instrText xml:space="preserve"> HYPERLINK "http://intec.cnam.fr/diplomes-et-formations/diplomes-de-l-expertise-comptable/comptabilite-et-audit-208856.kjsp?RH=Dipexper&amp;RF=Dipexper" </w:instrText>
      </w:r>
      <w:r w:rsidR="00862D46" w:rsidRPr="004D06A6">
        <w:rPr>
          <w:rFonts w:ascii="inherit" w:hAnsi="inherit"/>
          <w:color w:val="333333"/>
          <w:sz w:val="22"/>
          <w:szCs w:val="22"/>
        </w:rPr>
        <w:fldChar w:fldCharType="separate"/>
      </w:r>
      <w:r w:rsidRPr="004D06A6">
        <w:rPr>
          <w:rStyle w:val="Lienhypertexte"/>
          <w:rFonts w:ascii="inherit" w:hAnsi="inherit"/>
          <w:color w:val="8E001F"/>
          <w:sz w:val="22"/>
          <w:szCs w:val="22"/>
          <w:u w:val="none"/>
          <w:bdr w:val="none" w:sz="0" w:space="0" w:color="auto" w:frame="1"/>
        </w:rPr>
        <w:t>Comptablité</w:t>
      </w:r>
      <w:proofErr w:type="spellEnd"/>
      <w:r w:rsidRPr="004D06A6">
        <w:rPr>
          <w:rStyle w:val="Lienhypertexte"/>
          <w:rFonts w:ascii="inherit" w:hAnsi="inherit"/>
          <w:color w:val="8E001F"/>
          <w:sz w:val="22"/>
          <w:szCs w:val="22"/>
          <w:u w:val="none"/>
          <w:bdr w:val="none" w:sz="0" w:space="0" w:color="auto" w:frame="1"/>
        </w:rPr>
        <w:t xml:space="preserve"> et audit</w:t>
      </w:r>
      <w:r w:rsidR="00862D46" w:rsidRPr="004D06A6">
        <w:rPr>
          <w:rFonts w:ascii="inherit" w:hAnsi="inherit"/>
          <w:color w:val="333333"/>
          <w:sz w:val="22"/>
          <w:szCs w:val="22"/>
        </w:rPr>
        <w:fldChar w:fldCharType="end"/>
      </w:r>
      <w:r w:rsidRPr="004D06A6">
        <w:rPr>
          <w:rFonts w:ascii="inherit" w:hAnsi="inherit"/>
          <w:color w:val="333333"/>
          <w:sz w:val="22"/>
          <w:szCs w:val="22"/>
        </w:rPr>
        <w:t>) pour le finaliser.</w:t>
      </w:r>
    </w:p>
    <w:p w:rsidR="00C2338B" w:rsidRDefault="00C2338B" w:rsidP="00C2338B">
      <w:pPr>
        <w:spacing w:after="0" w:line="240" w:lineRule="auto"/>
        <w:ind w:left="0" w:firstLine="0"/>
        <w:textAlignment w:val="baseline"/>
        <w:rPr>
          <w:rFonts w:ascii="inherit" w:hAnsi="inherit"/>
          <w:color w:val="333333"/>
          <w:sz w:val="20"/>
          <w:szCs w:val="20"/>
        </w:rPr>
      </w:pPr>
    </w:p>
    <w:p w:rsidR="004D06A6" w:rsidRDefault="004D06A6" w:rsidP="00C2338B">
      <w:pPr>
        <w:spacing w:after="0" w:line="240" w:lineRule="auto"/>
        <w:ind w:left="0" w:firstLine="0"/>
        <w:textAlignment w:val="baseline"/>
        <w:rPr>
          <w:rFonts w:ascii="inherit" w:hAnsi="inherit"/>
          <w:color w:val="333333"/>
          <w:sz w:val="20"/>
          <w:szCs w:val="20"/>
        </w:rPr>
      </w:pPr>
    </w:p>
    <w:p w:rsidR="00C2338B" w:rsidRPr="004D06A6" w:rsidRDefault="00C2338B" w:rsidP="00C2338B">
      <w:pPr>
        <w:pStyle w:val="Titre2"/>
        <w:spacing w:before="0" w:after="240" w:line="240" w:lineRule="auto"/>
        <w:ind w:left="709"/>
        <w:textAlignment w:val="baseline"/>
        <w:rPr>
          <w:rFonts w:ascii="montserratbold" w:hAnsi="montserratbold"/>
          <w:color w:val="C1002A"/>
          <w:sz w:val="31"/>
          <w:szCs w:val="31"/>
        </w:rPr>
      </w:pPr>
      <w:r w:rsidRPr="004D06A6">
        <w:rPr>
          <w:rFonts w:ascii="montserratbold" w:hAnsi="montserratbold"/>
          <w:color w:val="C1002A"/>
          <w:sz w:val="31"/>
          <w:szCs w:val="31"/>
        </w:rPr>
        <w:t>Vous souhaitez valider vos acquis?</w:t>
      </w:r>
    </w:p>
    <w:p w:rsidR="004D06A6" w:rsidRPr="004D06A6" w:rsidRDefault="00C2338B" w:rsidP="004D06A6">
      <w:pPr>
        <w:pStyle w:val="NormalWeb"/>
        <w:spacing w:before="0" w:beforeAutospacing="0" w:after="360" w:afterAutospacing="0"/>
        <w:jc w:val="both"/>
        <w:textAlignment w:val="baseline"/>
        <w:rPr>
          <w:rFonts w:ascii="inherit" w:hAnsi="inherit"/>
          <w:color w:val="333333"/>
          <w:sz w:val="22"/>
          <w:szCs w:val="22"/>
        </w:rPr>
      </w:pPr>
      <w:r w:rsidRPr="004D06A6">
        <w:rPr>
          <w:rFonts w:ascii="inherit" w:hAnsi="inherit"/>
          <w:color w:val="333333"/>
          <w:sz w:val="22"/>
          <w:szCs w:val="22"/>
        </w:rPr>
        <w:t>Selon le même principe, l'</w:t>
      </w:r>
      <w:proofErr w:type="spellStart"/>
      <w:r w:rsidRPr="004D06A6">
        <w:rPr>
          <w:rFonts w:ascii="inherit" w:hAnsi="inherit"/>
          <w:color w:val="333333"/>
          <w:sz w:val="22"/>
          <w:szCs w:val="22"/>
        </w:rPr>
        <w:t>Intec</w:t>
      </w:r>
      <w:proofErr w:type="spellEnd"/>
      <w:r w:rsidRPr="004D06A6">
        <w:rPr>
          <w:rFonts w:ascii="inherit" w:hAnsi="inherit"/>
          <w:color w:val="333333"/>
          <w:sz w:val="22"/>
          <w:szCs w:val="22"/>
        </w:rPr>
        <w:t> </w:t>
      </w:r>
      <w:r w:rsidRPr="004D06A6">
        <w:rPr>
          <w:rStyle w:val="lev"/>
          <w:rFonts w:ascii="inherit" w:hAnsi="inherit"/>
          <w:color w:val="333333"/>
          <w:sz w:val="22"/>
          <w:szCs w:val="22"/>
          <w:bdr w:val="none" w:sz="0" w:space="0" w:color="auto" w:frame="1"/>
        </w:rPr>
        <w:t>accompagne les candidats VAE</w:t>
      </w:r>
      <w:r w:rsidRPr="004D06A6">
        <w:rPr>
          <w:rFonts w:ascii="inherit" w:hAnsi="inherit"/>
          <w:color w:val="333333"/>
          <w:sz w:val="22"/>
          <w:szCs w:val="22"/>
        </w:rPr>
        <w:t> aux diplômes de l'État et aux diplômes de l'</w:t>
      </w:r>
      <w:proofErr w:type="spellStart"/>
      <w:r w:rsidRPr="004D06A6">
        <w:rPr>
          <w:rFonts w:ascii="inherit" w:hAnsi="inherit"/>
          <w:color w:val="333333"/>
          <w:sz w:val="22"/>
          <w:szCs w:val="22"/>
        </w:rPr>
        <w:t>Intec</w:t>
      </w:r>
      <w:proofErr w:type="spellEnd"/>
      <w:r w:rsidRPr="004D06A6">
        <w:rPr>
          <w:rFonts w:ascii="inherit" w:hAnsi="inherit"/>
          <w:color w:val="333333"/>
          <w:sz w:val="22"/>
          <w:szCs w:val="22"/>
        </w:rPr>
        <w:t xml:space="preserve"> en s'appuyant sur le même livret et les mêmes référentiels de compétences des UE. Le dossier peut ainsi être déposé soit à l'un des jurys, soit aux deux, et les résultats les plus favorables sont pris en compte pour la délivrance du diplôme de l'</w:t>
      </w:r>
      <w:proofErr w:type="spellStart"/>
      <w:r w:rsidRPr="004D06A6">
        <w:rPr>
          <w:rFonts w:ascii="inherit" w:hAnsi="inherit"/>
          <w:color w:val="333333"/>
          <w:sz w:val="22"/>
          <w:szCs w:val="22"/>
        </w:rPr>
        <w:t>Intec</w:t>
      </w:r>
      <w:proofErr w:type="spellEnd"/>
      <w:r w:rsidRPr="004D06A6">
        <w:rPr>
          <w:rFonts w:ascii="inherit" w:hAnsi="inherit"/>
          <w:color w:val="333333"/>
          <w:sz w:val="22"/>
          <w:szCs w:val="22"/>
        </w:rPr>
        <w:t>.</w:t>
      </w:r>
    </w:p>
    <w:p w:rsidR="00C2338B" w:rsidRPr="004D06A6" w:rsidRDefault="00C2338B" w:rsidP="004D06A6">
      <w:pPr>
        <w:pStyle w:val="NormalWeb"/>
        <w:spacing w:before="0" w:beforeAutospacing="0" w:after="360" w:afterAutospacing="0"/>
        <w:jc w:val="both"/>
        <w:textAlignment w:val="baseline"/>
        <w:rPr>
          <w:rFonts w:ascii="inherit" w:hAnsi="inherit"/>
          <w:color w:val="333333"/>
          <w:sz w:val="22"/>
          <w:szCs w:val="22"/>
        </w:rPr>
      </w:pPr>
      <w:r w:rsidRPr="004D06A6">
        <w:rPr>
          <w:rFonts w:ascii="inherit" w:hAnsi="inherit"/>
          <w:color w:val="333333"/>
          <w:sz w:val="22"/>
          <w:szCs w:val="22"/>
        </w:rPr>
        <w:t>Néanmoins, un diplôme de l'</w:t>
      </w:r>
      <w:proofErr w:type="spellStart"/>
      <w:r w:rsidRPr="004D06A6">
        <w:rPr>
          <w:rFonts w:ascii="inherit" w:hAnsi="inherit"/>
          <w:color w:val="333333"/>
          <w:sz w:val="22"/>
          <w:szCs w:val="22"/>
        </w:rPr>
        <w:t>Intec</w:t>
      </w:r>
      <w:proofErr w:type="spellEnd"/>
      <w:r w:rsidRPr="004D06A6">
        <w:rPr>
          <w:rFonts w:ascii="inherit" w:hAnsi="inherit"/>
          <w:color w:val="333333"/>
          <w:sz w:val="22"/>
          <w:szCs w:val="22"/>
        </w:rPr>
        <w:t xml:space="preserve"> ne peut être délivré qu'à condition d'avoir préparé un minimum d'UE à l'</w:t>
      </w:r>
      <w:proofErr w:type="spellStart"/>
      <w:r w:rsidRPr="004D06A6">
        <w:rPr>
          <w:rFonts w:ascii="inherit" w:hAnsi="inherit"/>
          <w:color w:val="333333"/>
          <w:sz w:val="22"/>
          <w:szCs w:val="22"/>
        </w:rPr>
        <w:t>Intec</w:t>
      </w:r>
      <w:proofErr w:type="spellEnd"/>
      <w:r w:rsidRPr="004D06A6">
        <w:rPr>
          <w:rFonts w:ascii="inherit" w:hAnsi="inherit"/>
          <w:color w:val="333333"/>
          <w:sz w:val="22"/>
          <w:szCs w:val="22"/>
        </w:rPr>
        <w:t xml:space="preserve"> par la formation ou l'accompagnement VAE :</w:t>
      </w:r>
    </w:p>
    <w:p w:rsidR="00C2338B" w:rsidRPr="004D06A6" w:rsidRDefault="00C2338B" w:rsidP="004D06A6">
      <w:pPr>
        <w:numPr>
          <w:ilvl w:val="0"/>
          <w:numId w:val="8"/>
        </w:numPr>
        <w:spacing w:after="0" w:line="240" w:lineRule="auto"/>
        <w:ind w:left="0"/>
        <w:jc w:val="center"/>
        <w:textAlignment w:val="baseline"/>
        <w:rPr>
          <w:rFonts w:ascii="inherit" w:hAnsi="inherit"/>
          <w:color w:val="333333"/>
        </w:rPr>
      </w:pPr>
      <w:r w:rsidRPr="004D06A6">
        <w:rPr>
          <w:rFonts w:ascii="inherit" w:hAnsi="inherit"/>
          <w:color w:val="333333"/>
        </w:rPr>
        <w:t>3 UE pour le DGC ;</w:t>
      </w:r>
    </w:p>
    <w:p w:rsidR="00C2338B" w:rsidRPr="004D06A6" w:rsidRDefault="00C2338B" w:rsidP="004D06A6">
      <w:pPr>
        <w:numPr>
          <w:ilvl w:val="0"/>
          <w:numId w:val="8"/>
        </w:numPr>
        <w:spacing w:after="0" w:line="240" w:lineRule="auto"/>
        <w:ind w:left="0"/>
        <w:jc w:val="center"/>
        <w:textAlignment w:val="baseline"/>
        <w:rPr>
          <w:rFonts w:ascii="inherit" w:hAnsi="inherit"/>
          <w:color w:val="333333"/>
        </w:rPr>
      </w:pPr>
      <w:r w:rsidRPr="004D06A6">
        <w:rPr>
          <w:rFonts w:ascii="inherit" w:hAnsi="inherit"/>
          <w:color w:val="333333"/>
        </w:rPr>
        <w:t>2 UE pour le DSGC.</w:t>
      </w:r>
    </w:p>
    <w:p w:rsidR="004D06A6" w:rsidRPr="004D06A6" w:rsidRDefault="004D06A6" w:rsidP="004D06A6">
      <w:pPr>
        <w:spacing w:after="0" w:line="240" w:lineRule="auto"/>
        <w:ind w:left="0" w:firstLine="0"/>
        <w:textAlignment w:val="baseline"/>
        <w:rPr>
          <w:rFonts w:ascii="inherit" w:hAnsi="inherit"/>
          <w:color w:val="333333"/>
        </w:rPr>
      </w:pPr>
    </w:p>
    <w:p w:rsidR="00C2338B" w:rsidRPr="004D06A6" w:rsidRDefault="00C2338B" w:rsidP="004D06A6">
      <w:pPr>
        <w:pStyle w:val="NormalWeb"/>
        <w:spacing w:before="0" w:beforeAutospacing="0" w:after="360" w:afterAutospacing="0"/>
        <w:jc w:val="both"/>
        <w:textAlignment w:val="baseline"/>
        <w:rPr>
          <w:rFonts w:ascii="inherit" w:hAnsi="inherit"/>
          <w:color w:val="333333"/>
          <w:sz w:val="22"/>
          <w:szCs w:val="22"/>
        </w:rPr>
      </w:pPr>
      <w:r w:rsidRPr="004D06A6">
        <w:rPr>
          <w:rFonts w:ascii="inherit" w:hAnsi="inherit"/>
          <w:color w:val="333333"/>
          <w:sz w:val="22"/>
          <w:szCs w:val="22"/>
        </w:rPr>
        <w:t>Quand le diplôme de l'</w:t>
      </w:r>
      <w:proofErr w:type="spellStart"/>
      <w:r w:rsidRPr="004D06A6">
        <w:rPr>
          <w:rFonts w:ascii="inherit" w:hAnsi="inherit"/>
          <w:color w:val="333333"/>
          <w:sz w:val="22"/>
          <w:szCs w:val="22"/>
        </w:rPr>
        <w:t>Intec</w:t>
      </w:r>
      <w:proofErr w:type="spellEnd"/>
      <w:r w:rsidRPr="004D06A6">
        <w:rPr>
          <w:rFonts w:ascii="inherit" w:hAnsi="inherit"/>
          <w:color w:val="333333"/>
          <w:sz w:val="22"/>
          <w:szCs w:val="22"/>
        </w:rPr>
        <w:t xml:space="preserve"> est finalisé, il suffit de faire valoir les dispenses q</w:t>
      </w:r>
      <w:r w:rsidR="004D06A6" w:rsidRPr="004D06A6">
        <w:rPr>
          <w:rFonts w:ascii="inherit" w:hAnsi="inherit"/>
          <w:color w:val="333333"/>
          <w:sz w:val="22"/>
          <w:szCs w:val="22"/>
        </w:rPr>
        <w:t xml:space="preserve">u'il octroie dans le diplôme de </w:t>
      </w:r>
      <w:r w:rsidRPr="004D06A6">
        <w:rPr>
          <w:rFonts w:ascii="inherit" w:hAnsi="inherit"/>
          <w:color w:val="333333"/>
          <w:sz w:val="22"/>
          <w:szCs w:val="22"/>
        </w:rPr>
        <w:t>l'État si on souhaite l'obtenir.</w:t>
      </w:r>
    </w:p>
    <w:p w:rsidR="004D06A6" w:rsidRPr="004D06A6" w:rsidRDefault="004D06A6" w:rsidP="004D06A6">
      <w:pPr>
        <w:pStyle w:val="Titre2"/>
        <w:spacing w:before="0" w:after="240" w:line="240" w:lineRule="auto"/>
        <w:ind w:left="709"/>
        <w:textAlignment w:val="baseline"/>
        <w:rPr>
          <w:rFonts w:ascii="montserratbold" w:hAnsi="montserratbold"/>
          <w:color w:val="C1002A"/>
          <w:sz w:val="31"/>
          <w:szCs w:val="31"/>
        </w:rPr>
      </w:pPr>
      <w:r w:rsidRPr="004D06A6">
        <w:rPr>
          <w:rFonts w:ascii="montserratbold" w:hAnsi="montserratbold"/>
          <w:color w:val="C1002A"/>
          <w:sz w:val="31"/>
          <w:szCs w:val="31"/>
        </w:rPr>
        <w:t>Attention</w:t>
      </w:r>
    </w:p>
    <w:p w:rsidR="004D06A6" w:rsidRPr="004D06A6" w:rsidRDefault="004D06A6" w:rsidP="004D06A6">
      <w:pPr>
        <w:spacing w:line="240" w:lineRule="auto"/>
        <w:ind w:left="709"/>
        <w:textAlignment w:val="baseline"/>
        <w:rPr>
          <w:rFonts w:ascii="inherit" w:hAnsi="inherit"/>
          <w:color w:val="333333"/>
        </w:rPr>
      </w:pPr>
      <w:r w:rsidRPr="004D06A6">
        <w:rPr>
          <w:rFonts w:ascii="inherit" w:hAnsi="inherit"/>
          <w:color w:val="333333"/>
        </w:rPr>
        <w:t>Ne sont pas considérées comme des UE « préparées » à l'</w:t>
      </w:r>
      <w:proofErr w:type="spellStart"/>
      <w:r w:rsidRPr="004D06A6">
        <w:rPr>
          <w:rFonts w:ascii="inherit" w:hAnsi="inherit"/>
          <w:color w:val="333333"/>
        </w:rPr>
        <w:t>Intec</w:t>
      </w:r>
      <w:proofErr w:type="spellEnd"/>
      <w:r w:rsidRPr="004D06A6">
        <w:rPr>
          <w:rFonts w:ascii="inherit" w:hAnsi="inherit"/>
          <w:color w:val="333333"/>
        </w:rPr>
        <w:t xml:space="preserve"> :</w:t>
      </w:r>
    </w:p>
    <w:p w:rsidR="004D06A6" w:rsidRPr="004D06A6" w:rsidRDefault="004D06A6" w:rsidP="004D06A6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inherit" w:hAnsi="inherit"/>
          <w:color w:val="333333"/>
        </w:rPr>
      </w:pPr>
      <w:r w:rsidRPr="004D06A6">
        <w:rPr>
          <w:rFonts w:ascii="inherit" w:hAnsi="inherit"/>
          <w:color w:val="333333"/>
        </w:rPr>
        <w:t>les UE obtenues en dispense d'un diplôme quel qu'il soit ;</w:t>
      </w:r>
    </w:p>
    <w:p w:rsidR="004D06A6" w:rsidRPr="004D06A6" w:rsidRDefault="004D06A6" w:rsidP="004D06A6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inherit" w:hAnsi="inherit"/>
          <w:color w:val="333333"/>
        </w:rPr>
      </w:pPr>
      <w:r w:rsidRPr="004D06A6">
        <w:rPr>
          <w:rFonts w:ascii="inherit" w:hAnsi="inherit"/>
          <w:color w:val="333333"/>
        </w:rPr>
        <w:t>les UE validées par VES, quel que soit le cursus du candidat.</w:t>
      </w:r>
    </w:p>
    <w:p w:rsidR="004D06A6" w:rsidRPr="004D06A6" w:rsidRDefault="004D06A6" w:rsidP="004D06A6">
      <w:pPr>
        <w:pStyle w:val="NormalWeb"/>
        <w:spacing w:before="0" w:beforeAutospacing="0" w:after="0" w:afterAutospacing="0"/>
        <w:textAlignment w:val="baseline"/>
        <w:rPr>
          <w:rFonts w:ascii="inherit" w:hAnsi="inherit"/>
          <w:color w:val="333333"/>
          <w:sz w:val="22"/>
          <w:szCs w:val="22"/>
        </w:rPr>
      </w:pPr>
    </w:p>
    <w:p w:rsidR="004D06A6" w:rsidRDefault="004D06A6" w:rsidP="004D06A6">
      <w:pPr>
        <w:pStyle w:val="NormalWeb"/>
        <w:spacing w:before="0" w:beforeAutospacing="0" w:after="0" w:afterAutospacing="0"/>
        <w:jc w:val="both"/>
        <w:textAlignment w:val="baseline"/>
        <w:rPr>
          <w:rFonts w:ascii="inherit" w:hAnsi="inherit"/>
          <w:color w:val="333333"/>
          <w:sz w:val="22"/>
          <w:szCs w:val="22"/>
        </w:rPr>
      </w:pPr>
      <w:r w:rsidRPr="004D06A6">
        <w:rPr>
          <w:rFonts w:ascii="inherit" w:hAnsi="inherit"/>
          <w:color w:val="333333"/>
          <w:sz w:val="22"/>
          <w:szCs w:val="22"/>
        </w:rPr>
        <w:t>En revanche, les UE sollicitées par </w:t>
      </w:r>
      <w:hyperlink r:id="rId10" w:history="1">
        <w:r w:rsidRPr="004D06A6">
          <w:rPr>
            <w:rStyle w:val="Lienhypertexte"/>
            <w:rFonts w:ascii="inherit" w:hAnsi="inherit"/>
            <w:color w:val="8E001F"/>
            <w:sz w:val="22"/>
            <w:szCs w:val="22"/>
            <w:u w:val="none"/>
            <w:bdr w:val="none" w:sz="0" w:space="0" w:color="auto" w:frame="1"/>
          </w:rPr>
          <w:t>VAE</w:t>
        </w:r>
      </w:hyperlink>
      <w:r w:rsidRPr="004D06A6">
        <w:rPr>
          <w:rFonts w:ascii="inherit" w:hAnsi="inherit"/>
          <w:color w:val="333333"/>
          <w:sz w:val="22"/>
          <w:szCs w:val="22"/>
        </w:rPr>
        <w:t>, lorsque celle-ci fait l'objet d’un accompagnement par l'</w:t>
      </w:r>
      <w:proofErr w:type="spellStart"/>
      <w:r w:rsidRPr="004D06A6">
        <w:rPr>
          <w:rFonts w:ascii="inherit" w:hAnsi="inherit"/>
          <w:color w:val="333333"/>
          <w:sz w:val="22"/>
          <w:szCs w:val="22"/>
        </w:rPr>
        <w:t>Intec</w:t>
      </w:r>
      <w:proofErr w:type="spellEnd"/>
      <w:r w:rsidRPr="004D06A6">
        <w:rPr>
          <w:rFonts w:ascii="inherit" w:hAnsi="inherit"/>
          <w:color w:val="333333"/>
          <w:sz w:val="22"/>
          <w:szCs w:val="22"/>
        </w:rPr>
        <w:t xml:space="preserve"> ou un centre </w:t>
      </w:r>
      <w:proofErr w:type="spellStart"/>
      <w:r w:rsidRPr="004D06A6">
        <w:rPr>
          <w:rFonts w:ascii="inherit" w:hAnsi="inherit"/>
          <w:color w:val="333333"/>
          <w:sz w:val="22"/>
          <w:szCs w:val="22"/>
        </w:rPr>
        <w:t>Cnam</w:t>
      </w:r>
      <w:proofErr w:type="spellEnd"/>
      <w:r w:rsidRPr="004D06A6">
        <w:rPr>
          <w:rFonts w:ascii="inherit" w:hAnsi="inherit"/>
          <w:color w:val="333333"/>
          <w:sz w:val="22"/>
          <w:szCs w:val="22"/>
        </w:rPr>
        <w:t>, sont considérées comme des UE « préparées » à l'</w:t>
      </w:r>
      <w:proofErr w:type="spellStart"/>
      <w:r w:rsidRPr="004D06A6">
        <w:rPr>
          <w:rFonts w:ascii="inherit" w:hAnsi="inherit"/>
          <w:color w:val="333333"/>
          <w:sz w:val="22"/>
          <w:szCs w:val="22"/>
        </w:rPr>
        <w:t>Intec</w:t>
      </w:r>
      <w:proofErr w:type="spellEnd"/>
      <w:r w:rsidRPr="004D06A6">
        <w:rPr>
          <w:rFonts w:ascii="inherit" w:hAnsi="inherit"/>
          <w:color w:val="333333"/>
          <w:sz w:val="22"/>
          <w:szCs w:val="22"/>
        </w:rPr>
        <w:t>, même si le candidat valide ses UE ensuite par la VAE mise en place pour les diplômes d'État.</w:t>
      </w:r>
    </w:p>
    <w:p w:rsidR="00766670" w:rsidRDefault="00766670" w:rsidP="004D06A6">
      <w:pPr>
        <w:pStyle w:val="NormalWeb"/>
        <w:spacing w:before="0" w:beforeAutospacing="0" w:after="0" w:afterAutospacing="0"/>
        <w:jc w:val="both"/>
        <w:textAlignment w:val="baseline"/>
        <w:rPr>
          <w:rFonts w:ascii="inherit" w:hAnsi="inherit"/>
          <w:color w:val="333333"/>
          <w:sz w:val="22"/>
          <w:szCs w:val="22"/>
        </w:rPr>
      </w:pPr>
    </w:p>
    <w:p w:rsidR="00766670" w:rsidRPr="00766670" w:rsidRDefault="00766670" w:rsidP="00766670">
      <w:pPr>
        <w:pStyle w:val="NormalWeb"/>
        <w:numPr>
          <w:ilvl w:val="0"/>
          <w:numId w:val="13"/>
        </w:numPr>
        <w:spacing w:before="0" w:beforeAutospacing="0" w:after="0" w:afterAutospacing="0"/>
        <w:ind w:left="-142" w:hanging="142"/>
        <w:jc w:val="both"/>
        <w:textAlignment w:val="baseline"/>
        <w:rPr>
          <w:rFonts w:ascii="inherit" w:hAnsi="inherit"/>
          <w:b/>
          <w:bCs/>
          <w:color w:val="333333"/>
          <w:sz w:val="22"/>
          <w:szCs w:val="22"/>
        </w:rPr>
      </w:pPr>
      <w:r w:rsidRPr="00766670">
        <w:rPr>
          <w:rFonts w:ascii="inherit" w:hAnsi="inherit"/>
          <w:b/>
          <w:bCs/>
          <w:color w:val="333333"/>
          <w:sz w:val="22"/>
          <w:szCs w:val="22"/>
        </w:rPr>
        <w:t>En savoir plus</w:t>
      </w:r>
      <w:r w:rsidRPr="00766670">
        <w:rPr>
          <w:rFonts w:ascii="inherit" w:hAnsi="inherit" w:hint="eastAsia"/>
          <w:b/>
          <w:bCs/>
          <w:color w:val="333333"/>
          <w:sz w:val="22"/>
          <w:szCs w:val="22"/>
        </w:rPr>
        <w:t> </w:t>
      </w:r>
      <w:r w:rsidRPr="00766670">
        <w:rPr>
          <w:rFonts w:ascii="inherit" w:hAnsi="inherit"/>
          <w:b/>
          <w:bCs/>
          <w:color w:val="333333"/>
          <w:sz w:val="22"/>
          <w:szCs w:val="22"/>
        </w:rPr>
        <w:t>: www.siec.education.fr</w:t>
      </w:r>
    </w:p>
    <w:p w:rsidR="008C2F40" w:rsidRPr="004D06A6" w:rsidRDefault="008C2F40" w:rsidP="00766670">
      <w:pPr>
        <w:shd w:val="clear" w:color="auto" w:fill="FFFFFF"/>
        <w:spacing w:line="322" w:lineRule="atLeast"/>
        <w:ind w:left="0" w:firstLine="0"/>
        <w:textAlignment w:val="baseline"/>
        <w:rPr>
          <w:rFonts w:ascii="inherit" w:hAnsi="inherit"/>
          <w:color w:val="333333"/>
        </w:rPr>
      </w:pPr>
    </w:p>
    <w:sectPr w:rsidR="008C2F40" w:rsidRPr="004D06A6" w:rsidSect="00FB7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tserrat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4632D"/>
    <w:multiLevelType w:val="multilevel"/>
    <w:tmpl w:val="FE76A212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</w:abstractNum>
  <w:abstractNum w:abstractNumId="1">
    <w:nsid w:val="15AE74E8"/>
    <w:multiLevelType w:val="hybridMultilevel"/>
    <w:tmpl w:val="883618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187802"/>
    <w:multiLevelType w:val="multilevel"/>
    <w:tmpl w:val="7302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212E18"/>
    <w:multiLevelType w:val="hybridMultilevel"/>
    <w:tmpl w:val="28F6F18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B10DC6"/>
    <w:multiLevelType w:val="multilevel"/>
    <w:tmpl w:val="1D14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723A2F"/>
    <w:multiLevelType w:val="multilevel"/>
    <w:tmpl w:val="AF560F92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5A9F6171"/>
    <w:multiLevelType w:val="hybridMultilevel"/>
    <w:tmpl w:val="D8804D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733446"/>
    <w:multiLevelType w:val="multilevel"/>
    <w:tmpl w:val="3DCC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EF64F72"/>
    <w:multiLevelType w:val="multilevel"/>
    <w:tmpl w:val="16D2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B2D7814"/>
    <w:multiLevelType w:val="multilevel"/>
    <w:tmpl w:val="AD44A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BCA647B"/>
    <w:multiLevelType w:val="multilevel"/>
    <w:tmpl w:val="1CD0C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F24E99"/>
    <w:multiLevelType w:val="multilevel"/>
    <w:tmpl w:val="0872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ED4F3E"/>
    <w:multiLevelType w:val="multilevel"/>
    <w:tmpl w:val="7302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10"/>
  </w:num>
  <w:num w:numId="7">
    <w:abstractNumId w:val="12"/>
  </w:num>
  <w:num w:numId="8">
    <w:abstractNumId w:val="11"/>
  </w:num>
  <w:num w:numId="9">
    <w:abstractNumId w:val="2"/>
  </w:num>
  <w:num w:numId="10">
    <w:abstractNumId w:val="1"/>
  </w:num>
  <w:num w:numId="11">
    <w:abstractNumId w:val="4"/>
  </w:num>
  <w:num w:numId="12">
    <w:abstractNumId w:val="6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336C"/>
    <w:rsid w:val="000464B7"/>
    <w:rsid w:val="001228CC"/>
    <w:rsid w:val="00166E40"/>
    <w:rsid w:val="002C49CE"/>
    <w:rsid w:val="00353959"/>
    <w:rsid w:val="003D0017"/>
    <w:rsid w:val="004D06A6"/>
    <w:rsid w:val="0050232F"/>
    <w:rsid w:val="005A681A"/>
    <w:rsid w:val="0065168B"/>
    <w:rsid w:val="006A0B46"/>
    <w:rsid w:val="00766670"/>
    <w:rsid w:val="00831997"/>
    <w:rsid w:val="00862D46"/>
    <w:rsid w:val="00876498"/>
    <w:rsid w:val="008A5E3C"/>
    <w:rsid w:val="008C2F40"/>
    <w:rsid w:val="008C628B"/>
    <w:rsid w:val="00916384"/>
    <w:rsid w:val="00966F2F"/>
    <w:rsid w:val="009731AB"/>
    <w:rsid w:val="00B10E5D"/>
    <w:rsid w:val="00BC4A50"/>
    <w:rsid w:val="00C2338B"/>
    <w:rsid w:val="00DA336C"/>
    <w:rsid w:val="00E24D7E"/>
    <w:rsid w:val="00E417C6"/>
    <w:rsid w:val="00E62F3F"/>
    <w:rsid w:val="00FB7610"/>
    <w:rsid w:val="00FE0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160" w:lineRule="exact"/>
        <w:ind w:left="3538" w:hanging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610"/>
  </w:style>
  <w:style w:type="paragraph" w:styleId="Titre1">
    <w:name w:val="heading 1"/>
    <w:basedOn w:val="Normal"/>
    <w:link w:val="Titre1Car"/>
    <w:uiPriority w:val="9"/>
    <w:qFormat/>
    <w:rsid w:val="00DA336C"/>
    <w:pPr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C2F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DA336C"/>
    <w:pPr>
      <w:spacing w:before="100" w:beforeAutospacing="1" w:after="100" w:afterAutospacing="1" w:line="240" w:lineRule="auto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336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DA336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DA336C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DA336C"/>
  </w:style>
  <w:style w:type="character" w:styleId="lev">
    <w:name w:val="Strong"/>
    <w:basedOn w:val="Policepardfaut"/>
    <w:uiPriority w:val="22"/>
    <w:qFormat/>
    <w:rsid w:val="00DA336C"/>
    <w:rPr>
      <w:b/>
      <w:bCs/>
    </w:rPr>
  </w:style>
  <w:style w:type="character" w:customStyle="1" w:styleId="dico">
    <w:name w:val="dico"/>
    <w:basedOn w:val="Policepardfaut"/>
    <w:rsid w:val="00DA336C"/>
  </w:style>
  <w:style w:type="character" w:customStyle="1" w:styleId="Titre2Car">
    <w:name w:val="Titre 2 Car"/>
    <w:basedOn w:val="Policepardfaut"/>
    <w:link w:val="Titre2"/>
    <w:uiPriority w:val="9"/>
    <w:rsid w:val="008C2F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suivivisit">
    <w:name w:val="FollowedHyperlink"/>
    <w:basedOn w:val="Policepardfaut"/>
    <w:uiPriority w:val="99"/>
    <w:semiHidden/>
    <w:unhideWhenUsed/>
    <w:rsid w:val="008C2F4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2338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3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956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405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9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77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6561">
                      <w:marLeft w:val="0"/>
                      <w:marRight w:val="0"/>
                      <w:marTop w:val="0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1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0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87618">
                      <w:marLeft w:val="0"/>
                      <w:marRight w:val="0"/>
                      <w:marTop w:val="0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3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9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64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83A618"/>
                                        <w:left w:val="single" w:sz="12" w:space="6" w:color="83A618"/>
                                        <w:bottom w:val="single" w:sz="2" w:space="6" w:color="83A618"/>
                                        <w:right w:val="single" w:sz="12" w:space="6" w:color="83A618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0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66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72567">
                      <w:marLeft w:val="0"/>
                      <w:marRight w:val="0"/>
                      <w:marTop w:val="0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977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0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8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851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10428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8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980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2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560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11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9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3750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99660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82027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52846">
                      <w:marLeft w:val="0"/>
                      <w:marRight w:val="0"/>
                      <w:marTop w:val="0"/>
                      <w:marBottom w:val="360"/>
                      <w:divBdr>
                        <w:top w:val="single" w:sz="12" w:space="0" w:color="C1002A"/>
                        <w:left w:val="single" w:sz="12" w:space="0" w:color="C1002A"/>
                        <w:bottom w:val="single" w:sz="12" w:space="0" w:color="C1002A"/>
                        <w:right w:val="single" w:sz="12" w:space="0" w:color="C1002A"/>
                      </w:divBdr>
                      <w:divsChild>
                        <w:div w:id="51538807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36342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6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8959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73515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c.cnam.fr/diplome-superieur-de-comptabilite-et-de-gestion-dscg-et-diplome-superieur-de-gestion-et-de-comptabilite-dsgc--297189.kjsp?RH=Dipexpe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c.cnam.fr/diplome-de-comptabilite-et-de-gestion-dcg-et-diplome-de-gestion-et-de-comptabilite-dgc--297185.kjsp?RH=Dipexp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c.cnam.fr/diplome-superieur-de-comptabilite-et-de-gestion-dscg-et-diplome-superieur-de-gestion-et-de-comptabilite-dsgc--297189.kjsp?RH=Dipexpe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intec.cnam.fr/diplome-de-comptabilite-et-de-gestion-dcg-et-diplome-de-gestion-et-de-comptabilite-dgc--297185.kjsp?RH=Dipexper" TargetMode="External"/><Relationship Id="rId10" Type="http://schemas.openxmlformats.org/officeDocument/2006/relationships/hyperlink" Target="http://intec.cnam.fr/dispositifs-de-validation-des-acquis-195239.kjsp?RH=Dipexp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c.cnam.fr/diplomes-et-formations/diplomes-de-l-expertise-comptable/gestion-juridique-fiscale-et-sociale-208853.kjsp?RH=Dipexper&amp;RF=Dipexpe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462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nzahid</dc:creator>
  <cp:lastModifiedBy>nzahid</cp:lastModifiedBy>
  <cp:revision>17</cp:revision>
  <cp:lastPrinted>2015-07-13T13:56:00Z</cp:lastPrinted>
  <dcterms:created xsi:type="dcterms:W3CDTF">2015-07-10T12:29:00Z</dcterms:created>
  <dcterms:modified xsi:type="dcterms:W3CDTF">2017-07-17T08:34:00Z</dcterms:modified>
</cp:coreProperties>
</file>